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CB09F">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Times New Roman" w:hAnsi="Times New Roman" w:eastAsia="宋体" w:cs="宋体"/>
          <w:b/>
          <w:bCs/>
          <w:sz w:val="32"/>
          <w:szCs w:val="32"/>
          <w:highlight w:val="none"/>
          <w:lang w:val="en-US" w:eastAsia="zh-CN"/>
        </w:rPr>
      </w:pPr>
      <w:bookmarkStart w:id="0" w:name="_GoBack"/>
      <w:r>
        <w:rPr>
          <w:rFonts w:hint="eastAsia" w:ascii="Times New Roman" w:hAnsi="Times New Roman" w:eastAsia="宋体" w:cs="宋体"/>
          <w:b/>
          <w:bCs/>
          <w:sz w:val="32"/>
          <w:szCs w:val="32"/>
          <w:highlight w:val="none"/>
          <w:lang w:val="en-US" w:eastAsia="zh-CN"/>
        </w:rPr>
        <w:t>采购公告</w:t>
      </w:r>
    </w:p>
    <w:bookmarkEnd w:id="0"/>
    <w:p w14:paraId="68D9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根据《中华人民共和国政府采购法》之规定，对</w:t>
      </w:r>
      <w:r>
        <w:rPr>
          <w:rFonts w:hint="eastAsia" w:ascii="Times New Roman" w:hAnsi="Times New Roman" w:eastAsia="宋体" w:cs="宋体"/>
          <w:b w:val="0"/>
          <w:bCs w:val="0"/>
          <w:kern w:val="0"/>
          <w:sz w:val="24"/>
          <w:szCs w:val="24"/>
          <w:lang w:val="en-US" w:eastAsia="zh-CN"/>
        </w:rPr>
        <w:t>上海</w:t>
      </w:r>
      <w:r>
        <w:rPr>
          <w:rFonts w:hint="eastAsia" w:ascii="Times New Roman" w:hAnsi="Times New Roman" w:eastAsia="宋体"/>
          <w:sz w:val="24"/>
          <w:szCs w:val="24"/>
          <w:lang w:val="en-US" w:eastAsia="zh-CN"/>
        </w:rPr>
        <w:t>市嘉定区中心医院</w:t>
      </w:r>
      <w:r>
        <w:rPr>
          <w:rFonts w:hint="eastAsia" w:ascii="Times New Roman" w:hAnsi="Times New Roman" w:eastAsia="宋体" w:cs="Arial"/>
          <w:b w:val="0"/>
          <w:color w:val="000000"/>
          <w:sz w:val="24"/>
          <w:szCs w:val="24"/>
          <w:shd w:val="clear" w:color="auto" w:fill="FFFFFF"/>
          <w:lang w:eastAsia="zh-CN"/>
        </w:rPr>
        <w:t>院内心电电生理管理系统软件维护项目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63D6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14CA45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lang w:eastAsia="zh-CN"/>
        </w:rPr>
      </w:pPr>
      <w:r>
        <w:rPr>
          <w:rFonts w:hint="eastAsia" w:ascii="Times New Roman" w:hAnsi="Times New Roman" w:eastAsia="宋体" w:cs="宋体"/>
          <w:b w:val="0"/>
          <w:bCs w:val="0"/>
          <w:sz w:val="24"/>
          <w:szCs w:val="24"/>
          <w:lang w:val="en-US" w:eastAsia="zh-CN"/>
        </w:rPr>
        <w:t>1、项目名称</w:t>
      </w:r>
      <w:r>
        <w:rPr>
          <w:rFonts w:hint="eastAsia" w:ascii="Times New Roman" w:hAnsi="Times New Roman" w:eastAsia="宋体" w:cs="宋体"/>
          <w:b w:val="0"/>
          <w:bCs w:val="0"/>
          <w:sz w:val="24"/>
          <w:szCs w:val="24"/>
          <w:lang w:eastAsia="zh-CN"/>
        </w:rPr>
        <w:t>：</w:t>
      </w:r>
      <w:r>
        <w:rPr>
          <w:rFonts w:hint="eastAsia" w:ascii="Times New Roman" w:hAnsi="Times New Roman" w:eastAsia="宋体" w:cs="Arial"/>
          <w:b w:val="0"/>
          <w:color w:val="000000"/>
          <w:sz w:val="24"/>
          <w:szCs w:val="24"/>
          <w:shd w:val="clear" w:color="auto" w:fill="FFFFFF"/>
          <w:lang w:eastAsia="zh-CN"/>
        </w:rPr>
        <w:t>院内心电电生理管理系统软件维护项目</w:t>
      </w:r>
    </w:p>
    <w:p w14:paraId="47B71B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2、项目背景：</w:t>
      </w:r>
      <w:r>
        <w:rPr>
          <w:rFonts w:hint="eastAsia" w:ascii="Times New Roman" w:hAnsi="Times New Roman" w:eastAsia="宋体"/>
          <w:b w:val="0"/>
          <w:sz w:val="24"/>
          <w:lang w:val="en-US" w:eastAsia="zh-CN"/>
        </w:rPr>
        <w:t>提供</w:t>
      </w:r>
      <w:r>
        <w:rPr>
          <w:rFonts w:hint="eastAsia" w:ascii="Times New Roman" w:hAnsi="Times New Roman" w:eastAsia="宋体"/>
          <w:b w:val="0"/>
          <w:sz w:val="24"/>
        </w:rPr>
        <w:t>年度常规</w:t>
      </w:r>
      <w:r>
        <w:rPr>
          <w:rFonts w:hint="eastAsia" w:ascii="Times New Roman" w:hAnsi="Times New Roman" w:eastAsia="宋体"/>
          <w:b w:val="0"/>
          <w:sz w:val="24"/>
          <w:lang w:val="en-US" w:eastAsia="zh-CN"/>
        </w:rPr>
        <w:t>服务</w:t>
      </w:r>
      <w:r>
        <w:rPr>
          <w:rFonts w:hint="eastAsia" w:ascii="Times New Roman" w:hAnsi="Times New Roman" w:eastAsia="宋体" w:cs="宋体"/>
          <w:kern w:val="0"/>
          <w:sz w:val="24"/>
          <w:szCs w:val="32"/>
          <w:lang w:eastAsia="zh-CN"/>
        </w:rPr>
        <w:t>，</w:t>
      </w:r>
      <w:r>
        <w:rPr>
          <w:rFonts w:ascii="Times New Roman" w:hAnsi="Times New Roman" w:eastAsia="宋体" w:cs="宋体"/>
          <w:kern w:val="0"/>
          <w:sz w:val="24"/>
          <w:szCs w:val="32"/>
        </w:rPr>
        <w:t>确保医院系统安全稳定运行</w:t>
      </w:r>
      <w:r>
        <w:rPr>
          <w:rFonts w:hint="eastAsia" w:ascii="Times New Roman" w:hAnsi="Times New Roman" w:eastAsia="宋体" w:cs="宋体"/>
          <w:b w:val="0"/>
          <w:bCs w:val="0"/>
          <w:sz w:val="24"/>
          <w:szCs w:val="24"/>
          <w:lang w:val="en-US" w:eastAsia="zh-CN"/>
        </w:rPr>
        <w:t>。</w:t>
      </w:r>
    </w:p>
    <w:p w14:paraId="20B330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rPr>
      </w:pPr>
      <w:r>
        <w:rPr>
          <w:rFonts w:hint="eastAsia" w:ascii="Times New Roman" w:hAnsi="Times New Roman" w:eastAsia="宋体"/>
          <w:sz w:val="24"/>
          <w:lang w:val="en-US" w:eastAsia="zh-CN"/>
        </w:rPr>
        <w:t>3、</w:t>
      </w:r>
      <w:r>
        <w:rPr>
          <w:rFonts w:hint="eastAsia" w:ascii="Times New Roman" w:hAnsi="Times New Roman" w:eastAsia="宋体" w:cs="Times New Roman"/>
          <w:sz w:val="24"/>
          <w:szCs w:val="32"/>
        </w:rPr>
        <w:t>项目地点：上海市嘉定区城北路1号嘉定区中心医院</w:t>
      </w:r>
    </w:p>
    <w:p w14:paraId="7D7DB6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4、预算金额</w:t>
      </w:r>
      <w:r>
        <w:rPr>
          <w:rFonts w:hint="eastAsia" w:ascii="Times New Roman" w:hAnsi="Times New Roman" w:eastAsia="宋体" w:cs="宋体"/>
          <w:b w:val="0"/>
          <w:bCs w:val="0"/>
          <w:sz w:val="24"/>
          <w:szCs w:val="24"/>
          <w:lang w:eastAsia="zh-CN"/>
        </w:rPr>
        <w:t>：</w:t>
      </w:r>
      <w:r>
        <w:rPr>
          <w:rFonts w:hint="eastAsia" w:ascii="Times New Roman" w:hAnsi="Times New Roman" w:eastAsia="宋体" w:cs="宋体"/>
          <w:b w:val="0"/>
          <w:bCs w:val="0"/>
          <w:sz w:val="24"/>
          <w:szCs w:val="24"/>
          <w:highlight w:val="none"/>
          <w:lang w:val="en-US" w:eastAsia="zh-CN"/>
        </w:rPr>
        <w:t>56000元/年</w:t>
      </w:r>
      <w:r>
        <w:rPr>
          <w:rFonts w:hint="eastAsia" w:ascii="Times New Roman" w:hAnsi="Times New Roman" w:eastAsia="宋体" w:cs="宋体"/>
          <w:b w:val="0"/>
          <w:bCs w:val="0"/>
          <w:sz w:val="24"/>
          <w:szCs w:val="24"/>
          <w:lang w:val="en-US" w:eastAsia="zh-CN"/>
        </w:rPr>
        <w:t>，超过预算予以否决</w:t>
      </w:r>
    </w:p>
    <w:p w14:paraId="330F3A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val="0"/>
          <w:bCs w:val="0"/>
          <w:sz w:val="24"/>
          <w:szCs w:val="24"/>
          <w:lang w:val="en-US" w:eastAsia="zh-CN"/>
        </w:rPr>
        <w:t>5、项目编号：</w:t>
      </w:r>
      <w:r>
        <w:rPr>
          <w:rFonts w:hint="eastAsia" w:ascii="Times New Roman" w:hAnsi="Times New Roman" w:eastAsia="宋体" w:cs="宋体"/>
          <w:b w:val="0"/>
          <w:bCs w:val="0"/>
          <w:kern w:val="2"/>
          <w:sz w:val="24"/>
          <w:szCs w:val="24"/>
          <w:lang w:val="en-US" w:eastAsia="zh-CN" w:bidi="ar"/>
        </w:rPr>
        <w:t>JZX-2026-025</w:t>
      </w:r>
    </w:p>
    <w:p w14:paraId="54DEED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6957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2E267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rPr>
        <w:t>1</w:t>
      </w:r>
      <w:r>
        <w:rPr>
          <w:rFonts w:hint="eastAsia" w:ascii="Times New Roman" w:hAnsi="Times New Roman" w:eastAsia="宋体" w:cs="宋体"/>
          <w:kern w:val="0"/>
          <w:sz w:val="24"/>
          <w:szCs w:val="24"/>
          <w:highlight w:val="none"/>
          <w:lang w:eastAsia="zh-CN"/>
        </w:rPr>
        <w:t>、符合《中华人民共和国政府采购法》第二十二条规定的</w:t>
      </w:r>
      <w:r>
        <w:rPr>
          <w:rFonts w:hint="eastAsia" w:ascii="Times New Roman" w:hAnsi="Times New Roman" w:eastAsia="宋体" w:cs="宋体"/>
          <w:kern w:val="0"/>
          <w:sz w:val="24"/>
          <w:szCs w:val="24"/>
          <w:highlight w:val="none"/>
          <w:lang w:val="en-US" w:eastAsia="zh-CN"/>
        </w:rPr>
        <w:t>供应商</w:t>
      </w:r>
    </w:p>
    <w:p w14:paraId="20459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val="en-US" w:eastAsia="zh-CN"/>
        </w:rPr>
        <w:t>2、</w:t>
      </w:r>
      <w:r>
        <w:rPr>
          <w:rFonts w:hint="eastAsia" w:ascii="Times New Roman" w:hAnsi="Times New Roman" w:eastAsia="宋体" w:cs="宋体"/>
          <w:kern w:val="0"/>
          <w:sz w:val="24"/>
          <w:szCs w:val="24"/>
          <w:highlight w:val="none"/>
        </w:rPr>
        <w:t>具有独立法人资格</w:t>
      </w:r>
      <w:r>
        <w:rPr>
          <w:rFonts w:hint="eastAsia" w:ascii="Times New Roman" w:hAnsi="Times New Roman" w:eastAsia="宋体" w:cs="宋体"/>
          <w:kern w:val="0"/>
          <w:sz w:val="24"/>
          <w:szCs w:val="24"/>
          <w:highlight w:val="none"/>
          <w:lang w:eastAsia="zh-CN"/>
        </w:rPr>
        <w:t>及相应经营范围</w:t>
      </w:r>
    </w:p>
    <w:p w14:paraId="054B1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highlight w:val="none"/>
          <w:lang w:eastAsia="zh-CN"/>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kern w:val="0"/>
          <w:sz w:val="24"/>
          <w:szCs w:val="24"/>
          <w:highlight w:val="none"/>
        </w:rPr>
        <w:t>未被列入“信用中国”网站(</w:t>
      </w:r>
      <w:r>
        <w:rPr>
          <w:rFonts w:hint="eastAsia" w:ascii="Times New Roman" w:hAnsi="Times New Roman" w:eastAsia="宋体" w:cs="宋体"/>
          <w:color w:val="auto"/>
          <w:kern w:val="0"/>
          <w:sz w:val="24"/>
          <w:szCs w:val="24"/>
          <w:highlight w:val="none"/>
          <w:u w:val="none"/>
        </w:rPr>
        <w:t>www.creditchina.gov.cn</w:t>
      </w:r>
      <w:r>
        <w:rPr>
          <w:rFonts w:hint="eastAsia" w:ascii="Times New Roman" w:hAnsi="Times New Roman" w:eastAsia="宋体" w:cs="宋体"/>
          <w:kern w:val="0"/>
          <w:sz w:val="24"/>
          <w:szCs w:val="24"/>
          <w:highlight w:val="none"/>
        </w:rPr>
        <w:t>)失信被执行人名单、重大税收违法案件当事人名单和</w:t>
      </w:r>
      <w:r>
        <w:rPr>
          <w:rFonts w:hint="eastAsia" w:ascii="Times New Roman" w:hAnsi="Times New Roman" w:eastAsia="宋体" w:cs="宋体"/>
          <w:kern w:val="0"/>
          <w:sz w:val="24"/>
          <w:szCs w:val="24"/>
          <w:highlight w:val="none"/>
          <w:lang w:val="en-US" w:eastAsia="zh-CN"/>
        </w:rPr>
        <w:t>中国政府采购网</w:t>
      </w:r>
      <w:r>
        <w:rPr>
          <w:rFonts w:hint="eastAsia" w:ascii="Times New Roman" w:hAnsi="Times New Roman" w:eastAsia="宋体" w:cs="宋体"/>
          <w:kern w:val="0"/>
          <w:sz w:val="24"/>
          <w:szCs w:val="24"/>
          <w:highlight w:val="none"/>
        </w:rPr>
        <w:t>(www.ccgp.gov.cn)政府采购严重违法失信行为记录名单的供应商</w:t>
      </w:r>
      <w:r>
        <w:rPr>
          <w:rFonts w:hint="eastAsia" w:ascii="Times New Roman" w:hAnsi="Times New Roman" w:eastAsia="宋体" w:cs="宋体"/>
          <w:kern w:val="0"/>
          <w:sz w:val="24"/>
          <w:szCs w:val="24"/>
          <w:highlight w:val="none"/>
          <w:lang w:eastAsia="zh-CN"/>
        </w:rPr>
        <w:t>。</w:t>
      </w:r>
    </w:p>
    <w:p w14:paraId="0D9FCCBD">
      <w:pPr>
        <w:pStyle w:val="11"/>
        <w:spacing w:line="360" w:lineRule="auto"/>
        <w:ind w:firstLine="480" w:firstLineChars="200"/>
        <w:rPr>
          <w:rFonts w:hint="eastAsia" w:ascii="Times New Roman" w:hAnsi="Times New Roman" w:eastAsia="宋体"/>
          <w:highlight w:val="none"/>
          <w:lang w:eastAsia="zh-CN"/>
        </w:rPr>
      </w:pPr>
      <w:r>
        <w:rPr>
          <w:rFonts w:hint="eastAsia" w:ascii="Times New Roman" w:hAnsi="Times New Roman" w:eastAsia="宋体" w:cs="宋体"/>
          <w:kern w:val="0"/>
          <w:sz w:val="24"/>
          <w:szCs w:val="24"/>
          <w:highlight w:val="none"/>
          <w:lang w:val="en-US" w:eastAsia="zh-CN"/>
        </w:rPr>
        <w:t>4、单位负责人为同一人或者存在直接控股、管理关系的不同供应商，不得参加同一合同项下的政府采购活动。</w:t>
      </w:r>
    </w:p>
    <w:p w14:paraId="79D88A2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05E86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自公告发布之日起至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3A0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中心医院老住院大楼7楼采购服务部</w:t>
      </w:r>
      <w:r>
        <w:rPr>
          <w:rFonts w:hint="eastAsia" w:ascii="Times New Roman" w:hAnsi="Times New Roman" w:eastAsia="宋体" w:cs="宋体"/>
          <w:sz w:val="24"/>
          <w:szCs w:val="24"/>
          <w:highlight w:val="none"/>
          <w:lang w:eastAsia="zh-CN"/>
        </w:rPr>
        <w:t>：</w:t>
      </w:r>
    </w:p>
    <w:p w14:paraId="15578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w:t>
      </w:r>
      <w:r>
        <w:rPr>
          <w:rFonts w:hint="eastAsia" w:ascii="Times New Roman" w:hAnsi="Times New Roman" w:eastAsia="宋体" w:cs="Courier New"/>
          <w:kern w:val="0"/>
          <w:sz w:val="24"/>
          <w:szCs w:val="24"/>
          <w:highlight w:val="none"/>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highlight w:val="none"/>
          <w:lang w:val="en-US" w:eastAsia="zh-CN"/>
        </w:rPr>
        <w:t>复印件</w:t>
      </w:r>
      <w:r>
        <w:rPr>
          <w:rFonts w:hint="eastAsia" w:ascii="Times New Roman" w:hAnsi="Times New Roman" w:eastAsia="宋体" w:cs="宋体"/>
          <w:sz w:val="24"/>
          <w:szCs w:val="24"/>
          <w:highlight w:val="none"/>
          <w:lang w:val="en-US" w:eastAsia="zh-CN"/>
        </w:rPr>
        <w:t>（原件备查）</w:t>
      </w:r>
      <w:r>
        <w:rPr>
          <w:rFonts w:hint="eastAsia" w:ascii="Times New Roman" w:hAnsi="Times New Roman" w:eastAsia="宋体" w:cs="宋体"/>
          <w:sz w:val="24"/>
          <w:szCs w:val="24"/>
          <w:highlight w:val="none"/>
          <w:lang w:eastAsia="zh-CN"/>
        </w:rPr>
        <w:t>；</w:t>
      </w:r>
    </w:p>
    <w:p w14:paraId="5FBF0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38049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66DFDD0C">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180E5A3C">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43D69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10</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76CD9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b w:val="0"/>
          <w:bCs w:val="0"/>
          <w:kern w:val="0"/>
          <w:sz w:val="24"/>
          <w:szCs w:val="24"/>
          <w:highlight w:val="none"/>
          <w:lang w:val="en-US" w:eastAsia="zh-CN"/>
        </w:rPr>
        <w:t>比选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49712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8C2D8E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07921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王</w:t>
      </w:r>
      <w:r>
        <w:rPr>
          <w:rFonts w:hint="eastAsia" w:ascii="Times New Roman" w:hAnsi="Times New Roman" w:eastAsia="宋体" w:cs="宋体"/>
          <w:sz w:val="24"/>
          <w:szCs w:val="24"/>
          <w:highlight w:val="none"/>
        </w:rPr>
        <w:t>老师</w:t>
      </w:r>
    </w:p>
    <w:p w14:paraId="18E5E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sectPr>
          <w:pgSz w:w="11906" w:h="16838"/>
          <w:pgMar w:top="1440" w:right="1800" w:bottom="1440" w:left="1800" w:header="851" w:footer="992" w:gutter="0"/>
          <w:cols w:space="0" w:num="1"/>
          <w:rtlGutter w:val="0"/>
          <w:docGrid w:type="lines" w:linePitch="387" w:charSpace="0"/>
        </w:sect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4E1DE428">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1DACE058">
      <w:pPr>
        <w:pStyle w:val="15"/>
        <w:pBdr>
          <w:bottom w:val="single" w:color="auto" w:sz="6" w:space="1"/>
        </w:pBdr>
        <w:spacing w:line="360" w:lineRule="auto"/>
        <w:jc w:val="center"/>
        <w:rPr>
          <w:rFonts w:ascii="Times New Roman" w:hAnsi="Times New Roman" w:eastAsia="宋体" w:cs="Arial"/>
          <w:sz w:val="21"/>
          <w:szCs w:val="21"/>
        </w:rPr>
      </w:pPr>
    </w:p>
    <w:p w14:paraId="614E22C8">
      <w:pPr>
        <w:pStyle w:val="15"/>
        <w:pBdr>
          <w:bottom w:val="single" w:color="auto" w:sz="6" w:space="1"/>
        </w:pBdr>
        <w:spacing w:line="360" w:lineRule="auto"/>
        <w:jc w:val="center"/>
        <w:rPr>
          <w:rFonts w:ascii="Times New Roman" w:hAnsi="Times New Roman" w:eastAsia="宋体" w:cs="Arial"/>
          <w:sz w:val="21"/>
          <w:szCs w:val="21"/>
        </w:rPr>
      </w:pPr>
    </w:p>
    <w:p w14:paraId="575BDCA8">
      <w:pPr>
        <w:pStyle w:val="15"/>
        <w:spacing w:line="360" w:lineRule="auto"/>
        <w:rPr>
          <w:rFonts w:ascii="Times New Roman" w:hAnsi="Times New Roman" w:eastAsia="宋体" w:cs="Arial"/>
          <w:sz w:val="21"/>
          <w:szCs w:val="21"/>
        </w:rPr>
      </w:pPr>
    </w:p>
    <w:p w14:paraId="35625FC8">
      <w:pPr>
        <w:pStyle w:val="15"/>
        <w:spacing w:line="360" w:lineRule="auto"/>
        <w:rPr>
          <w:rFonts w:ascii="Times New Roman" w:hAnsi="Times New Roman" w:eastAsia="宋体" w:cs="Arial"/>
          <w:sz w:val="21"/>
          <w:szCs w:val="21"/>
        </w:rPr>
      </w:pPr>
    </w:p>
    <w:p w14:paraId="7C077BD0">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5"/>
        <w:spacing w:line="360" w:lineRule="auto"/>
        <w:rPr>
          <w:rFonts w:ascii="Times New Roman" w:hAnsi="Times New Roman" w:eastAsia="宋体" w:cs="Arial"/>
          <w:sz w:val="21"/>
          <w:szCs w:val="21"/>
        </w:rPr>
      </w:pPr>
    </w:p>
    <w:p w14:paraId="11E36B5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5"/>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4718A6A2">
      <w:pPr>
        <w:pStyle w:val="11"/>
        <w:spacing w:line="360" w:lineRule="auto"/>
        <w:jc w:val="center"/>
        <w:rPr>
          <w:rFonts w:hint="default"/>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83C240D"/>
    <w:rsid w:val="1AA24D9F"/>
    <w:rsid w:val="204E6298"/>
    <w:rsid w:val="28DA2E89"/>
    <w:rsid w:val="2A4254F9"/>
    <w:rsid w:val="2D1F32F4"/>
    <w:rsid w:val="323B4D81"/>
    <w:rsid w:val="34B70380"/>
    <w:rsid w:val="3AE174A3"/>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4">
    <w:name w:val="Default Paragraph Font"/>
    <w:qFormat/>
    <w:uiPriority w:val="0"/>
    <w:rPr>
      <w:rFonts w:eastAsia="微软雅黑" w:asciiTheme="minorAscii" w:hAnsiTheme="minorAscii"/>
    </w:rPr>
  </w:style>
  <w:style w:type="table" w:default="1" w:styleId="12">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99"/>
    <w:pPr>
      <w:spacing w:line="520" w:lineRule="exact"/>
    </w:pPr>
    <w:rPr>
      <w:rFonts w:ascii="宋体" w:cs="宋体"/>
      <w:kern w:val="0"/>
      <w:sz w:val="28"/>
      <w:szCs w:val="28"/>
    </w:rPr>
  </w:style>
  <w:style w:type="table" w:styleId="13">
    <w:name w:val="Table Grid"/>
    <w:basedOn w:val="1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Administrator</dc:creator>
  <cp:lastModifiedBy>Neeko</cp:lastModifiedBy>
  <dcterms:modified xsi:type="dcterms:W3CDTF">2026-04-02T02:04:48Z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eyJoZGlkIjoiNjQ2MjE5NmNmYTNjYzViNDQ4NGQyYTc3NjQxNWIxMGMiLCJ1c2VySWQiOiI0NjQ5MjczMTYifQ==</vt:lpwstr>
  </property>
  <property fmtid="{D5CDD505-2E9C-101B-9397-08002B2CF9AE}" pid="6" name="ICV">
    <vt:lpwstr>ED7218788C7C4C06A329AE2588AA5F88_12</vt:lpwstr>
  </property>
</Properties>
</file>