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2026年风湿免疫及其他科室新增医用耗材采购项目采购公告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2026年风湿免疫及其他科室新增医用耗材采购</w:t>
      </w:r>
      <w:r>
        <w:rPr>
          <w:rFonts w:hint="eastAsia" w:ascii="Times New Roman" w:hAnsi="Times New Roman" w:eastAsia="宋体"/>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CED5F34">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sz w:val="24"/>
        </w:rPr>
        <w:t>1、项目名称：</w:t>
      </w:r>
      <w:bookmarkStart w:id="0" w:name="_GoBack"/>
      <w:r>
        <w:rPr>
          <w:rFonts w:hint="eastAsia" w:ascii="Times New Roman" w:hAnsi="Times New Roman" w:eastAsia="宋体"/>
          <w:sz w:val="24"/>
          <w:szCs w:val="24"/>
          <w:lang w:val="en-US" w:eastAsia="zh-CN"/>
        </w:rPr>
        <w:t>2026年风湿免疫及其他科室新增医用耗材采购</w:t>
      </w:r>
      <w:bookmarkEnd w:id="0"/>
      <w:r>
        <w:rPr>
          <w:rFonts w:hint="eastAsia" w:ascii="Times New Roman" w:hAnsi="Times New Roman" w:eastAsia="宋体" w:cs="宋体"/>
          <w:kern w:val="0"/>
          <w:sz w:val="24"/>
        </w:rPr>
        <w:t>项目</w:t>
      </w:r>
    </w:p>
    <w:p w14:paraId="24C9C389">
      <w:pPr>
        <w:bidi w:val="0"/>
        <w:spacing w:line="360" w:lineRule="auto"/>
        <w:ind w:firstLine="480" w:firstLineChars="200"/>
        <w:rPr>
          <w:rFonts w:hint="eastAsia" w:ascii="Times New Roman" w:hAnsi="Times New Roman" w:eastAsia="宋体"/>
          <w:sz w:val="24"/>
          <w:lang w:val="en-US" w:eastAsia="zh-CN"/>
        </w:rPr>
      </w:pPr>
      <w:r>
        <w:rPr>
          <w:rFonts w:hint="eastAsia" w:ascii="Times New Roman" w:hAnsi="Times New Roman" w:eastAsia="宋体" w:cs="宋体"/>
          <w:sz w:val="24"/>
        </w:rPr>
        <w:t>2、项目背景：</w:t>
      </w:r>
      <w:r>
        <w:rPr>
          <w:rFonts w:hint="eastAsia" w:ascii="Times New Roman" w:hAnsi="Times New Roman" w:eastAsia="宋体"/>
          <w:sz w:val="24"/>
          <w:lang w:val="en-US" w:eastAsia="zh-CN"/>
        </w:rPr>
        <w:t>对2026年院内</w:t>
      </w:r>
      <w:r>
        <w:rPr>
          <w:rFonts w:hint="eastAsia" w:ascii="Times New Roman" w:hAnsi="Times New Roman" w:eastAsia="宋体"/>
          <w:sz w:val="24"/>
          <w:szCs w:val="24"/>
          <w:lang w:val="en-US" w:eastAsia="zh-CN"/>
        </w:rPr>
        <w:t>风湿免疫及其他科室</w:t>
      </w:r>
      <w:r>
        <w:rPr>
          <w:rFonts w:hint="eastAsia" w:ascii="Times New Roman" w:hAnsi="Times New Roman" w:eastAsia="宋体"/>
          <w:sz w:val="24"/>
          <w:lang w:val="en-US" w:eastAsia="zh-CN"/>
        </w:rPr>
        <w:t>新增医用耗材进行第一批次采购。</w:t>
      </w:r>
    </w:p>
    <w:tbl>
      <w:tblPr>
        <w:tblStyle w:val="16"/>
        <w:tblW w:w="9398"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4567"/>
        <w:gridCol w:w="3331"/>
      </w:tblGrid>
      <w:tr w14:paraId="14A1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00" w:type="dxa"/>
            <w:vAlign w:val="center"/>
          </w:tcPr>
          <w:p w14:paraId="42E476FE">
            <w:pPr>
              <w:pStyle w:val="14"/>
              <w:spacing w:line="360" w:lineRule="auto"/>
              <w:ind w:left="0" w:leftChars="0" w:firstLine="0" w:firstLineChars="0"/>
              <w:jc w:val="center"/>
              <w:rPr>
                <w:rFonts w:hint="default"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包件号</w:t>
            </w:r>
          </w:p>
        </w:tc>
        <w:tc>
          <w:tcPr>
            <w:tcW w:w="4567" w:type="dxa"/>
            <w:vAlign w:val="center"/>
          </w:tcPr>
          <w:p w14:paraId="204E4406">
            <w:pPr>
              <w:keepNext w:val="0"/>
              <w:keepLines w:val="0"/>
              <w:widowControl/>
              <w:suppressLineNumbers w:val="0"/>
              <w:spacing w:line="360" w:lineRule="auto"/>
              <w:jc w:val="center"/>
              <w:textAlignment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产品名称</w:t>
            </w:r>
          </w:p>
        </w:tc>
        <w:tc>
          <w:tcPr>
            <w:tcW w:w="3331" w:type="dxa"/>
            <w:vAlign w:val="center"/>
          </w:tcPr>
          <w:p w14:paraId="54D1B049">
            <w:pPr>
              <w:keepNext w:val="0"/>
              <w:keepLines w:val="0"/>
              <w:widowControl/>
              <w:suppressLineNumbers w:val="0"/>
              <w:spacing w:line="360" w:lineRule="auto"/>
              <w:jc w:val="center"/>
              <w:textAlignment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使用科室</w:t>
            </w:r>
          </w:p>
        </w:tc>
      </w:tr>
      <w:tr w14:paraId="1C25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00" w:type="dxa"/>
            <w:vAlign w:val="center"/>
          </w:tcPr>
          <w:p w14:paraId="214AA4DB">
            <w:pPr>
              <w:pStyle w:val="14"/>
              <w:spacing w:line="360" w:lineRule="auto"/>
              <w:ind w:left="0" w:leftChars="0" w:firstLine="0" w:firstLineChars="0"/>
              <w:jc w:val="center"/>
              <w:rPr>
                <w:rFonts w:hint="default"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包1</w:t>
            </w:r>
          </w:p>
        </w:tc>
        <w:tc>
          <w:tcPr>
            <w:tcW w:w="4567" w:type="dxa"/>
            <w:vAlign w:val="center"/>
          </w:tcPr>
          <w:p w14:paraId="5BA8BD46">
            <w:pPr>
              <w:keepNext w:val="0"/>
              <w:keepLines w:val="0"/>
              <w:widowControl/>
              <w:suppressLineNumbers w:val="0"/>
              <w:spacing w:line="360" w:lineRule="auto"/>
              <w:jc w:val="center"/>
              <w:textAlignment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一次性肺功能仪用过滤器</w:t>
            </w:r>
          </w:p>
        </w:tc>
        <w:tc>
          <w:tcPr>
            <w:tcW w:w="3331" w:type="dxa"/>
            <w:vAlign w:val="center"/>
          </w:tcPr>
          <w:p w14:paraId="70232801">
            <w:pPr>
              <w:keepNext w:val="0"/>
              <w:keepLines w:val="0"/>
              <w:widowControl/>
              <w:suppressLineNumbers w:val="0"/>
              <w:spacing w:line="360" w:lineRule="auto"/>
              <w:jc w:val="center"/>
              <w:textAlignment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呼吸与危重症医学科</w:t>
            </w:r>
          </w:p>
        </w:tc>
      </w:tr>
      <w:tr w14:paraId="557A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00" w:type="dxa"/>
            <w:vAlign w:val="center"/>
          </w:tcPr>
          <w:p w14:paraId="1B644D85">
            <w:pPr>
              <w:pStyle w:val="14"/>
              <w:spacing w:line="360" w:lineRule="auto"/>
              <w:ind w:left="0" w:leftChars="0" w:firstLine="0" w:firstLineChars="0"/>
              <w:jc w:val="center"/>
              <w:rPr>
                <w:rFonts w:hint="default"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包2</w:t>
            </w:r>
          </w:p>
        </w:tc>
        <w:tc>
          <w:tcPr>
            <w:tcW w:w="4567" w:type="dxa"/>
            <w:vAlign w:val="center"/>
          </w:tcPr>
          <w:p w14:paraId="6C0F27F2">
            <w:pPr>
              <w:keepNext w:val="0"/>
              <w:keepLines w:val="0"/>
              <w:widowControl/>
              <w:suppressLineNumbers w:val="0"/>
              <w:spacing w:line="360" w:lineRule="auto"/>
              <w:jc w:val="center"/>
              <w:textAlignment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医用涂擦剂</w:t>
            </w:r>
          </w:p>
        </w:tc>
        <w:tc>
          <w:tcPr>
            <w:tcW w:w="3331" w:type="dxa"/>
            <w:vAlign w:val="center"/>
          </w:tcPr>
          <w:p w14:paraId="3DCB3B61">
            <w:pPr>
              <w:keepNext w:val="0"/>
              <w:keepLines w:val="0"/>
              <w:widowControl/>
              <w:suppressLineNumbers w:val="0"/>
              <w:spacing w:line="360" w:lineRule="auto"/>
              <w:jc w:val="center"/>
              <w:textAlignment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中医科</w:t>
            </w:r>
          </w:p>
        </w:tc>
      </w:tr>
      <w:tr w14:paraId="67EF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00" w:type="dxa"/>
            <w:vAlign w:val="center"/>
          </w:tcPr>
          <w:p w14:paraId="2DA251E7">
            <w:pPr>
              <w:pStyle w:val="14"/>
              <w:spacing w:line="360" w:lineRule="auto"/>
              <w:ind w:left="0" w:leftChars="0" w:firstLine="0" w:firstLineChars="0"/>
              <w:jc w:val="center"/>
              <w:rPr>
                <w:rFonts w:hint="default"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包3</w:t>
            </w:r>
          </w:p>
        </w:tc>
        <w:tc>
          <w:tcPr>
            <w:tcW w:w="4567" w:type="dxa"/>
            <w:vAlign w:val="center"/>
          </w:tcPr>
          <w:p w14:paraId="2B13A681">
            <w:pPr>
              <w:keepNext w:val="0"/>
              <w:keepLines w:val="0"/>
              <w:widowControl/>
              <w:suppressLineNumbers w:val="0"/>
              <w:spacing w:line="360" w:lineRule="auto"/>
              <w:jc w:val="center"/>
              <w:textAlignment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结核感染T细胞检测</w:t>
            </w:r>
          </w:p>
        </w:tc>
        <w:tc>
          <w:tcPr>
            <w:tcW w:w="3331" w:type="dxa"/>
            <w:vAlign w:val="center"/>
          </w:tcPr>
          <w:p w14:paraId="4229D9C2">
            <w:pPr>
              <w:keepNext w:val="0"/>
              <w:keepLines w:val="0"/>
              <w:widowControl/>
              <w:suppressLineNumbers w:val="0"/>
              <w:spacing w:line="360" w:lineRule="auto"/>
              <w:jc w:val="center"/>
              <w:textAlignment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风湿免疫实验室</w:t>
            </w:r>
          </w:p>
        </w:tc>
      </w:tr>
      <w:tr w14:paraId="5F1D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00" w:type="dxa"/>
            <w:vAlign w:val="center"/>
          </w:tcPr>
          <w:p w14:paraId="0AA31683">
            <w:pPr>
              <w:pStyle w:val="14"/>
              <w:spacing w:line="360" w:lineRule="auto"/>
              <w:ind w:left="0" w:leftChars="0" w:firstLine="0" w:firstLineChars="0"/>
              <w:jc w:val="center"/>
              <w:rPr>
                <w:rFonts w:hint="default"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包4</w:t>
            </w:r>
          </w:p>
        </w:tc>
        <w:tc>
          <w:tcPr>
            <w:tcW w:w="4567" w:type="dxa"/>
            <w:vAlign w:val="center"/>
          </w:tcPr>
          <w:p w14:paraId="23EBF479">
            <w:pPr>
              <w:keepNext w:val="0"/>
              <w:keepLines w:val="0"/>
              <w:widowControl/>
              <w:suppressLineNumbers w:val="0"/>
              <w:spacing w:line="360" w:lineRule="auto"/>
              <w:jc w:val="center"/>
              <w:textAlignment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吸入性和食物性过敏原特异性IgE抗体检测</w:t>
            </w:r>
          </w:p>
        </w:tc>
        <w:tc>
          <w:tcPr>
            <w:tcW w:w="3331" w:type="dxa"/>
            <w:vAlign w:val="center"/>
          </w:tcPr>
          <w:p w14:paraId="5750B0A0">
            <w:pPr>
              <w:keepNext w:val="0"/>
              <w:keepLines w:val="0"/>
              <w:widowControl/>
              <w:suppressLineNumbers w:val="0"/>
              <w:spacing w:line="360" w:lineRule="auto"/>
              <w:jc w:val="center"/>
              <w:textAlignment w:val="center"/>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风湿免疫实验室</w:t>
            </w:r>
          </w:p>
        </w:tc>
      </w:tr>
    </w:tbl>
    <w:p w14:paraId="234054C4">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512999B9">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rPr>
        <w:t>4、预算金额：</w:t>
      </w:r>
      <w:r>
        <w:rPr>
          <w:rFonts w:hint="eastAsia" w:ascii="Times New Roman" w:hAnsi="Times New Roman" w:eastAsia="宋体"/>
          <w:sz w:val="24"/>
          <w:lang w:val="en-US" w:eastAsia="zh-CN"/>
        </w:rPr>
        <w:t>按实计算</w:t>
      </w:r>
      <w:r>
        <w:rPr>
          <w:rFonts w:hint="eastAsia" w:ascii="Times New Roman" w:hAnsi="Times New Roman" w:eastAsia="宋体"/>
          <w:sz w:val="24"/>
          <w:lang w:eastAsia="zh-CN"/>
        </w:rPr>
        <w:t>。</w:t>
      </w:r>
    </w:p>
    <w:p w14:paraId="3ABF2D91">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rPr>
        <w:t>5、项目编号：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43</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7841624"/>
    <w:rsid w:val="183C240D"/>
    <w:rsid w:val="191B6C8F"/>
    <w:rsid w:val="195D6216"/>
    <w:rsid w:val="1AA24D9F"/>
    <w:rsid w:val="1BD50804"/>
    <w:rsid w:val="20B322F1"/>
    <w:rsid w:val="20B570F4"/>
    <w:rsid w:val="21DF71B9"/>
    <w:rsid w:val="23264FFC"/>
    <w:rsid w:val="24F84634"/>
    <w:rsid w:val="28DA2E89"/>
    <w:rsid w:val="2A4254F9"/>
    <w:rsid w:val="2D1F32F4"/>
    <w:rsid w:val="2DC66E9C"/>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8863C3"/>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C07EBE"/>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6C137E3"/>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1119</Words>
  <Characters>1244</Characters>
  <Lines>0</Lines>
  <Paragraphs>0</Paragraphs>
  <TotalTime>0</TotalTime>
  <ScaleCrop>false</ScaleCrop>
  <LinksUpToDate>false</LinksUpToDate>
  <CharactersWithSpaces>1550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2026-05-21T08:13:54Z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D2D9540828094F44A01779BA1D2893EB_13</vt:lpwstr>
  </property>
  <property fmtid="{D5CDD505-2E9C-101B-9397-08002B2CF9AE}" pid="6" name="KSOTemplateDocerSaveRecord">
    <vt:lpwstr>eyJoZGlkIjoiYWRjOTk0NTRiZjM0OTM4OTdkMTk1MDUzMGE1ODA1YTYiLCJ1c2VySWQiOiIzNjM0MjI1MzkifQ==</vt:lpwstr>
  </property>
</Properties>
</file>