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31806">
      <w:pPr>
        <w:spacing w:line="360" w:lineRule="auto"/>
        <w:jc w:val="center"/>
        <w:rPr>
          <w:rFonts w:hint="default" w:ascii="Times New Roman" w:hAnsi="Times New Roman" w:eastAsia="宋体" w:cs="宋体"/>
          <w:b/>
          <w:bCs/>
          <w:sz w:val="32"/>
          <w:szCs w:val="32"/>
          <w:highlight w:val="none"/>
          <w:lang w:val="en-US"/>
        </w:rPr>
      </w:pPr>
      <w:r>
        <w:rPr>
          <w:rFonts w:hint="eastAsia" w:ascii="Times New Roman" w:hAnsi="Times New Roman" w:eastAsia="宋体" w:cs="宋体"/>
          <w:b/>
          <w:bCs/>
          <w:sz w:val="32"/>
          <w:szCs w:val="32"/>
          <w:highlight w:val="none"/>
          <w:lang w:eastAsia="zh-CN"/>
        </w:rPr>
        <w:t>2026年嘉定区中心医院</w:t>
      </w:r>
      <w:r>
        <w:rPr>
          <w:rFonts w:hint="eastAsia" w:ascii="Times New Roman" w:hAnsi="Times New Roman" w:eastAsia="宋体" w:cs="宋体"/>
          <w:b/>
          <w:bCs/>
          <w:sz w:val="32"/>
          <w:szCs w:val="32"/>
          <w:highlight w:val="none"/>
          <w:lang w:val="en-US" w:eastAsia="zh-CN"/>
        </w:rPr>
        <w:t>心内科</w:t>
      </w:r>
      <w:r>
        <w:rPr>
          <w:rFonts w:hint="eastAsia" w:ascii="Times New Roman" w:hAnsi="Times New Roman" w:eastAsia="宋体" w:cs="宋体"/>
          <w:b/>
          <w:bCs/>
          <w:sz w:val="32"/>
          <w:szCs w:val="32"/>
          <w:highlight w:val="none"/>
          <w:lang w:eastAsia="zh-CN"/>
        </w:rPr>
        <w:t>医疗设备采购</w:t>
      </w:r>
      <w:r>
        <w:rPr>
          <w:rFonts w:hint="eastAsia" w:ascii="Times New Roman" w:hAnsi="Times New Roman" w:eastAsia="宋体" w:cs="宋体"/>
          <w:b/>
          <w:bCs/>
          <w:sz w:val="32"/>
          <w:szCs w:val="32"/>
          <w:highlight w:val="none"/>
          <w:lang w:val="en-US" w:eastAsia="zh-CN"/>
        </w:rPr>
        <w:t>公告</w:t>
      </w:r>
    </w:p>
    <w:p w14:paraId="6B67F391">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eastAsia" w:ascii="Times New Roman" w:hAnsi="Times New Roman" w:eastAsia="宋体" w:cs="宋体"/>
          <w:sz w:val="24"/>
          <w:highlight w:val="none"/>
        </w:rPr>
      </w:pPr>
      <w:r>
        <w:rPr>
          <w:rFonts w:hint="eastAsia" w:ascii="Times New Roman" w:hAnsi="Times New Roman" w:eastAsia="宋体" w:cs="宋体"/>
          <w:b w:val="0"/>
          <w:bCs w:val="0"/>
          <w:kern w:val="0"/>
          <w:sz w:val="24"/>
          <w:szCs w:val="24"/>
          <w:highlight w:val="none"/>
        </w:rPr>
        <w:t>根据《中华人民共和国政府采购法》之规定，对</w:t>
      </w:r>
      <w:r>
        <w:rPr>
          <w:rFonts w:ascii="Times New Roman" w:hAnsi="Times New Roman" w:eastAsia="宋体"/>
          <w:highlight w:val="none"/>
        </w:rPr>
        <w:t>2026年</w:t>
      </w:r>
      <w:r>
        <w:rPr>
          <w:rFonts w:hint="eastAsia" w:ascii="Times New Roman" w:hAnsi="Times New Roman" w:eastAsia="宋体"/>
          <w:highlight w:val="none"/>
          <w:lang w:val="en-US" w:eastAsia="zh-CN"/>
        </w:rPr>
        <w:t>嘉定区中心医院</w:t>
      </w:r>
      <w:r>
        <w:rPr>
          <w:rFonts w:hint="eastAsia" w:ascii="Times New Roman" w:hAnsi="Times New Roman" w:eastAsia="宋体"/>
          <w:highlight w:val="none"/>
          <w:lang w:val="en-US" w:eastAsia="zh-CN"/>
        </w:rPr>
        <w:t>心内科医疗</w:t>
      </w:r>
      <w:r>
        <w:rPr>
          <w:rFonts w:ascii="Times New Roman" w:hAnsi="Times New Roman" w:eastAsia="宋体"/>
          <w:highlight w:val="none"/>
        </w:rPr>
        <w:t>设备</w:t>
      </w:r>
      <w:r>
        <w:rPr>
          <w:rFonts w:ascii="Times New Roman" w:hAnsi="Times New Roman" w:eastAsia="宋体"/>
          <w:highlight w:val="none"/>
        </w:rPr>
        <w:t>采购</w:t>
      </w:r>
      <w:r>
        <w:rPr>
          <w:rFonts w:hint="eastAsia" w:ascii="Times New Roman" w:hAnsi="Times New Roman" w:eastAsia="宋体" w:cs="宋体"/>
          <w:b w:val="0"/>
          <w:bCs w:val="0"/>
          <w:sz w:val="24"/>
          <w:szCs w:val="24"/>
          <w:highlight w:val="none"/>
          <w:lang w:val="en-US" w:eastAsia="zh-CN"/>
        </w:rPr>
        <w:t>进行比选采购</w:t>
      </w:r>
      <w:r>
        <w:rPr>
          <w:rFonts w:hint="eastAsia" w:ascii="Times New Roman" w:hAnsi="Times New Roman" w:eastAsia="宋体" w:cs="宋体"/>
          <w:b w:val="0"/>
          <w:bCs w:val="0"/>
          <w:sz w:val="24"/>
          <w:szCs w:val="24"/>
          <w:highlight w:val="none"/>
          <w:lang w:eastAsia="zh-CN"/>
        </w:rPr>
        <w:t>，</w:t>
      </w:r>
      <w:r>
        <w:rPr>
          <w:rFonts w:hint="eastAsia" w:ascii="Times New Roman" w:hAnsi="Times New Roman" w:eastAsia="宋体" w:cs="宋体"/>
          <w:b w:val="0"/>
          <w:bCs w:val="0"/>
          <w:sz w:val="24"/>
          <w:szCs w:val="24"/>
          <w:highlight w:val="none"/>
        </w:rPr>
        <w:t>现欢迎合格的</w:t>
      </w:r>
      <w:r>
        <w:rPr>
          <w:rFonts w:hint="eastAsia" w:ascii="Times New Roman" w:hAnsi="Times New Roman" w:eastAsia="宋体" w:cs="宋体"/>
          <w:b w:val="0"/>
          <w:bCs w:val="0"/>
          <w:sz w:val="24"/>
          <w:szCs w:val="24"/>
          <w:highlight w:val="none"/>
          <w:lang w:eastAsia="zh-CN"/>
        </w:rPr>
        <w:t>供应商</w:t>
      </w:r>
      <w:r>
        <w:rPr>
          <w:rFonts w:hint="eastAsia" w:ascii="Times New Roman" w:hAnsi="Times New Roman" w:eastAsia="宋体" w:cs="宋体"/>
          <w:b w:val="0"/>
          <w:bCs w:val="0"/>
          <w:sz w:val="24"/>
          <w:szCs w:val="24"/>
          <w:highlight w:val="none"/>
        </w:rPr>
        <w:t>参加投标</w:t>
      </w:r>
      <w:r>
        <w:rPr>
          <w:rFonts w:hint="eastAsia" w:ascii="Times New Roman" w:hAnsi="Times New Roman" w:eastAsia="宋体" w:cs="宋体"/>
          <w:sz w:val="24"/>
          <w:highlight w:val="none"/>
        </w:rPr>
        <w:t>。</w:t>
      </w:r>
    </w:p>
    <w:p w14:paraId="3731F6B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一、</w:t>
      </w:r>
      <w:r>
        <w:rPr>
          <w:rFonts w:hint="eastAsia" w:ascii="Times New Roman" w:hAnsi="Times New Roman" w:eastAsia="宋体" w:cs="宋体"/>
          <w:b/>
          <w:bCs/>
          <w:sz w:val="24"/>
          <w:szCs w:val="24"/>
          <w:highlight w:val="none"/>
          <w:lang w:eastAsia="zh-CN"/>
        </w:rPr>
        <w:t>询比</w:t>
      </w:r>
      <w:r>
        <w:rPr>
          <w:rFonts w:hint="eastAsia" w:ascii="Times New Roman" w:hAnsi="Times New Roman" w:eastAsia="宋体" w:cs="宋体"/>
          <w:b/>
          <w:bCs/>
          <w:sz w:val="24"/>
          <w:szCs w:val="24"/>
          <w:highlight w:val="none"/>
        </w:rPr>
        <w:t>内容</w:t>
      </w:r>
    </w:p>
    <w:p w14:paraId="222728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heme="minorBidi"/>
          <w:kern w:val="0"/>
          <w:sz w:val="24"/>
          <w:szCs w:val="24"/>
          <w:highlight w:val="none"/>
          <w:lang w:val="en-US" w:eastAsia="zh-CN" w:bidi="ar"/>
        </w:rPr>
      </w:pPr>
      <w:r>
        <w:rPr>
          <w:rFonts w:hint="eastAsia" w:ascii="Times New Roman" w:hAnsi="Times New Roman" w:eastAsia="宋体" w:cs="宋体"/>
          <w:b w:val="0"/>
          <w:bCs w:val="0"/>
          <w:sz w:val="24"/>
          <w:szCs w:val="24"/>
          <w:highlight w:val="none"/>
          <w:lang w:val="en-US" w:eastAsia="zh-CN"/>
        </w:rPr>
        <w:t>1、项目名称：</w:t>
      </w:r>
      <w:r>
        <w:rPr>
          <w:rFonts w:ascii="Times New Roman" w:hAnsi="Times New Roman" w:eastAsia="宋体"/>
          <w:sz w:val="24"/>
          <w:szCs w:val="32"/>
          <w:highlight w:val="none"/>
        </w:rPr>
        <w:t>2026年</w:t>
      </w:r>
      <w:r>
        <w:rPr>
          <w:rFonts w:hint="eastAsia" w:ascii="Times New Roman" w:hAnsi="Times New Roman" w:eastAsia="宋体"/>
          <w:sz w:val="24"/>
          <w:szCs w:val="32"/>
          <w:highlight w:val="none"/>
          <w:lang w:val="en-US" w:eastAsia="zh-CN"/>
        </w:rPr>
        <w:t>嘉定区中心医院</w:t>
      </w:r>
      <w:r>
        <w:rPr>
          <w:rFonts w:hint="eastAsia" w:ascii="Times New Roman" w:hAnsi="Times New Roman" w:eastAsia="宋体"/>
          <w:sz w:val="24"/>
          <w:szCs w:val="24"/>
          <w:highlight w:val="none"/>
          <w:lang w:val="en-US" w:eastAsia="zh-CN"/>
        </w:rPr>
        <w:t>心内科</w:t>
      </w:r>
      <w:r>
        <w:rPr>
          <w:rFonts w:hint="eastAsia" w:ascii="Times New Roman" w:hAnsi="Times New Roman" w:eastAsia="宋体"/>
          <w:sz w:val="24"/>
          <w:szCs w:val="32"/>
          <w:highlight w:val="none"/>
          <w:lang w:val="en-US" w:eastAsia="zh-CN"/>
        </w:rPr>
        <w:t>医疗</w:t>
      </w:r>
      <w:r>
        <w:rPr>
          <w:rFonts w:ascii="Times New Roman" w:hAnsi="Times New Roman" w:eastAsia="宋体"/>
          <w:sz w:val="24"/>
          <w:szCs w:val="32"/>
          <w:highlight w:val="none"/>
        </w:rPr>
        <w:t>设备采购</w:t>
      </w:r>
    </w:p>
    <w:p w14:paraId="000449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sz w:val="24"/>
          <w:szCs w:val="24"/>
          <w:highlight w:val="none"/>
          <w:lang w:val="en-US" w:eastAsia="zh-CN"/>
        </w:rPr>
      </w:pPr>
      <w:r>
        <w:rPr>
          <w:rFonts w:hint="eastAsia" w:ascii="Times New Roman" w:hAnsi="Times New Roman" w:eastAsia="宋体" w:cs="宋体"/>
          <w:b w:val="0"/>
          <w:bCs w:val="0"/>
          <w:sz w:val="24"/>
          <w:szCs w:val="24"/>
          <w:highlight w:val="none"/>
          <w:lang w:val="en-US" w:eastAsia="zh-CN"/>
        </w:rPr>
        <w:t>2、项目编号JZX-2026-065</w:t>
      </w:r>
      <w:bookmarkStart w:id="0" w:name="_GoBack"/>
      <w:bookmarkEnd w:id="0"/>
    </w:p>
    <w:p w14:paraId="25C7B8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highlight w:val="none"/>
          <w:lang w:val="en-US" w:eastAsia="zh-CN"/>
        </w:rPr>
      </w:pPr>
      <w:r>
        <w:rPr>
          <w:rFonts w:hint="eastAsia" w:ascii="Times New Roman" w:hAnsi="Times New Roman" w:eastAsia="宋体" w:cs="宋体"/>
          <w:b w:val="0"/>
          <w:bCs w:val="0"/>
          <w:sz w:val="24"/>
          <w:szCs w:val="24"/>
          <w:highlight w:val="none"/>
          <w:lang w:val="en-US" w:eastAsia="zh-CN"/>
        </w:rPr>
        <w:t>3、项目简介：本项目分为7个包件（详见采购文件），超过预算予以否决。</w:t>
      </w:r>
    </w:p>
    <w:tbl>
      <w:tblPr>
        <w:tblStyle w:val="5"/>
        <w:tblW w:w="928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1"/>
        <w:gridCol w:w="592"/>
        <w:gridCol w:w="2978"/>
        <w:gridCol w:w="1275"/>
        <w:gridCol w:w="885"/>
        <w:gridCol w:w="1365"/>
        <w:gridCol w:w="1477"/>
      </w:tblGrid>
      <w:tr w14:paraId="0851F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711"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6C8905AB">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包件</w:t>
            </w:r>
          </w:p>
          <w:p w14:paraId="09C13B07">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号</w:t>
            </w:r>
          </w:p>
        </w:tc>
        <w:tc>
          <w:tcPr>
            <w:tcW w:w="592"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14A8B43D">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科室</w:t>
            </w:r>
          </w:p>
        </w:tc>
        <w:tc>
          <w:tcPr>
            <w:tcW w:w="297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B60BEE">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名称</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C8D7E3">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★单台金额（万元）</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3C11FD">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数量</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C46250">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★预算总额（万元）</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70048E">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是否可采购进口设备</w:t>
            </w:r>
          </w:p>
        </w:tc>
      </w:tr>
      <w:tr w14:paraId="2A8F2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0467E316">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w:t>
            </w:r>
          </w:p>
        </w:tc>
        <w:tc>
          <w:tcPr>
            <w:tcW w:w="592" w:type="dxa"/>
            <w:vMerge w:val="restart"/>
            <w:tcBorders>
              <w:top w:val="single" w:color="auto" w:sz="4" w:space="0"/>
              <w:left w:val="single" w:color="auto" w:sz="4" w:space="0"/>
              <w:right w:val="single" w:color="auto" w:sz="4" w:space="0"/>
            </w:tcBorders>
            <w:shd w:val="clear" w:color="auto" w:fill="auto"/>
            <w:noWrap w:val="0"/>
            <w:vAlign w:val="center"/>
          </w:tcPr>
          <w:p w14:paraId="33F40404">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sz w:val="24"/>
                <w:szCs w:val="24"/>
                <w:highlight w:val="none"/>
                <w:lang w:val="en-US" w:eastAsia="zh-CN"/>
              </w:rPr>
              <w:t>心内科</w:t>
            </w:r>
          </w:p>
        </w:tc>
        <w:tc>
          <w:tcPr>
            <w:tcW w:w="297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BBD65C">
            <w:pPr>
              <w:keepNext w:val="0"/>
              <w:keepLines w:val="0"/>
              <w:widowControl/>
              <w:suppressLineNumbers w:val="0"/>
              <w:shd w:val="clear"/>
              <w:spacing w:line="360" w:lineRule="auto"/>
              <w:jc w:val="center"/>
              <w:textAlignment w:val="center"/>
              <w:rPr>
                <w:rFonts w:hint="eastAsia" w:ascii="Times New Roman" w:hAnsi="Times New Roman" w:eastAsia="宋体"/>
                <w:sz w:val="24"/>
                <w:szCs w:val="24"/>
                <w:highlight w:val="none"/>
                <w:lang w:val="en-US" w:eastAsia="zh-CN"/>
              </w:rPr>
            </w:pPr>
            <w:r>
              <w:rPr>
                <w:rFonts w:hint="eastAsia" w:ascii="Times New Roman" w:hAnsi="Times New Roman" w:eastAsia="宋体"/>
                <w:sz w:val="24"/>
                <w:szCs w:val="24"/>
                <w:highlight w:val="none"/>
                <w:lang w:val="en-US" w:eastAsia="zh-CN"/>
              </w:rPr>
              <w:t>心脏脉冲电场消融仪（含三维标测系统）</w:t>
            </w:r>
          </w:p>
        </w:tc>
        <w:tc>
          <w:tcPr>
            <w:tcW w:w="127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2797B3B">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1.9</w:t>
            </w:r>
          </w:p>
        </w:tc>
        <w:tc>
          <w:tcPr>
            <w:tcW w:w="88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5895D06">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10BD27">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1.9</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A10501">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3EB99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72A8D2BC">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w:t>
            </w:r>
          </w:p>
        </w:tc>
        <w:tc>
          <w:tcPr>
            <w:tcW w:w="592" w:type="dxa"/>
            <w:vMerge w:val="continue"/>
            <w:tcBorders>
              <w:left w:val="single" w:color="auto" w:sz="4" w:space="0"/>
              <w:right w:val="single" w:color="auto" w:sz="4" w:space="0"/>
            </w:tcBorders>
            <w:shd w:val="clear" w:color="auto" w:fill="auto"/>
            <w:noWrap w:val="0"/>
            <w:vAlign w:val="center"/>
          </w:tcPr>
          <w:p w14:paraId="39831866">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p>
        </w:tc>
        <w:tc>
          <w:tcPr>
            <w:tcW w:w="2978" w:type="dxa"/>
            <w:tcBorders>
              <w:top w:val="single" w:color="auto" w:sz="4" w:space="0"/>
              <w:left w:val="single" w:color="auto" w:sz="4" w:space="0"/>
              <w:bottom w:val="single" w:color="000000" w:sz="4" w:space="0"/>
              <w:right w:val="single" w:color="000000" w:sz="4" w:space="0"/>
            </w:tcBorders>
            <w:shd w:val="clear" w:color="auto" w:fill="auto"/>
            <w:noWrap w:val="0"/>
            <w:vAlign w:val="center"/>
          </w:tcPr>
          <w:p w14:paraId="3BC276ED">
            <w:pPr>
              <w:keepNext w:val="0"/>
              <w:keepLines w:val="0"/>
              <w:widowControl/>
              <w:suppressLineNumbers w:val="0"/>
              <w:shd w:val="clear"/>
              <w:spacing w:line="360" w:lineRule="auto"/>
              <w:jc w:val="center"/>
              <w:textAlignment w:val="center"/>
              <w:rPr>
                <w:rFonts w:hint="eastAsia" w:ascii="Times New Roman" w:hAnsi="Times New Roman" w:eastAsia="宋体"/>
                <w:sz w:val="24"/>
                <w:szCs w:val="24"/>
                <w:highlight w:val="none"/>
                <w:lang w:val="en-US" w:eastAsia="zh-CN"/>
              </w:rPr>
            </w:pPr>
            <w:r>
              <w:rPr>
                <w:rFonts w:hint="eastAsia" w:ascii="Times New Roman" w:hAnsi="Times New Roman" w:eastAsia="宋体"/>
                <w:sz w:val="24"/>
                <w:szCs w:val="24"/>
                <w:highlight w:val="none"/>
                <w:lang w:val="en-US" w:eastAsia="zh-CN"/>
              </w:rPr>
              <w:t>光学干涉断层成像系统</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840E05">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3</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0D82DA">
            <w:pPr>
              <w:keepNext w:val="0"/>
              <w:keepLines w:val="0"/>
              <w:widowControl/>
              <w:suppressLineNumbers w:val="0"/>
              <w:shd w:val="clear"/>
              <w:spacing w:line="360" w:lineRule="auto"/>
              <w:jc w:val="center"/>
              <w:textAlignment w:val="center"/>
              <w:rPr>
                <w:rFonts w:hint="eastAsia" w:ascii="Times New Roman" w:hAnsi="Times New Roman" w:eastAsia="宋体" w:cs="宋体"/>
                <w:b w:val="0"/>
                <w:bCs w:val="0"/>
                <w:kern w:val="0"/>
                <w:sz w:val="24"/>
                <w:szCs w:val="24"/>
                <w:highlight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w:t>
            </w:r>
          </w:p>
        </w:tc>
        <w:tc>
          <w:tcPr>
            <w:tcW w:w="136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B3DF59">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3</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5C37C4">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49582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8F4C2F8">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3</w:t>
            </w:r>
          </w:p>
        </w:tc>
        <w:tc>
          <w:tcPr>
            <w:tcW w:w="592" w:type="dxa"/>
            <w:vMerge w:val="continue"/>
            <w:tcBorders>
              <w:left w:val="single" w:color="auto" w:sz="4" w:space="0"/>
              <w:right w:val="single" w:color="auto" w:sz="4" w:space="0"/>
            </w:tcBorders>
            <w:shd w:val="clear" w:color="auto" w:fill="auto"/>
            <w:noWrap w:val="0"/>
            <w:vAlign w:val="center"/>
          </w:tcPr>
          <w:p w14:paraId="0765A777">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p>
        </w:tc>
        <w:tc>
          <w:tcPr>
            <w:tcW w:w="2978"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29471014">
            <w:pPr>
              <w:keepNext w:val="0"/>
              <w:keepLines w:val="0"/>
              <w:widowControl/>
              <w:suppressLineNumbers w:val="0"/>
              <w:shd w:val="clear"/>
              <w:spacing w:line="360" w:lineRule="auto"/>
              <w:jc w:val="center"/>
              <w:textAlignment w:val="center"/>
              <w:rPr>
                <w:rFonts w:hint="eastAsia" w:ascii="Times New Roman" w:hAnsi="Times New Roman" w:eastAsia="宋体"/>
                <w:sz w:val="24"/>
                <w:szCs w:val="24"/>
                <w:highlight w:val="none"/>
                <w:lang w:val="en-US" w:eastAsia="zh-CN"/>
              </w:rPr>
            </w:pPr>
            <w:r>
              <w:rPr>
                <w:rFonts w:hint="eastAsia" w:ascii="Times New Roman" w:hAnsi="Times New Roman" w:eastAsia="宋体"/>
                <w:sz w:val="24"/>
                <w:szCs w:val="24"/>
                <w:highlight w:val="none"/>
                <w:lang w:val="en-US" w:eastAsia="zh-CN"/>
              </w:rPr>
              <w:t>旋磨介入治疗设备</w:t>
            </w:r>
          </w:p>
        </w:tc>
        <w:tc>
          <w:tcPr>
            <w:tcW w:w="127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545D88B9">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5</w:t>
            </w:r>
          </w:p>
        </w:tc>
        <w:tc>
          <w:tcPr>
            <w:tcW w:w="88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3316E422">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w:t>
            </w:r>
          </w:p>
        </w:tc>
        <w:tc>
          <w:tcPr>
            <w:tcW w:w="1365"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0CB4667E">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5</w:t>
            </w:r>
          </w:p>
        </w:tc>
        <w:tc>
          <w:tcPr>
            <w:tcW w:w="1477"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64F60012">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是</w:t>
            </w:r>
          </w:p>
        </w:tc>
      </w:tr>
      <w:tr w14:paraId="1A3FC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635FCD40">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4</w:t>
            </w:r>
          </w:p>
        </w:tc>
        <w:tc>
          <w:tcPr>
            <w:tcW w:w="592" w:type="dxa"/>
            <w:vMerge w:val="continue"/>
            <w:tcBorders>
              <w:left w:val="single" w:color="auto" w:sz="4" w:space="0"/>
              <w:right w:val="single" w:color="auto" w:sz="4" w:space="0"/>
            </w:tcBorders>
            <w:shd w:val="clear" w:color="auto" w:fill="auto"/>
            <w:noWrap w:val="0"/>
            <w:vAlign w:val="center"/>
          </w:tcPr>
          <w:p w14:paraId="5883D6AE">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p>
        </w:tc>
        <w:tc>
          <w:tcPr>
            <w:tcW w:w="2978"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7B27F61C">
            <w:pPr>
              <w:keepNext w:val="0"/>
              <w:keepLines w:val="0"/>
              <w:widowControl/>
              <w:suppressLineNumbers w:val="0"/>
              <w:shd w:val="clear"/>
              <w:spacing w:line="360" w:lineRule="auto"/>
              <w:jc w:val="center"/>
              <w:textAlignment w:val="center"/>
              <w:rPr>
                <w:rFonts w:hint="eastAsia" w:ascii="Times New Roman" w:hAnsi="Times New Roman" w:eastAsia="宋体"/>
                <w:sz w:val="24"/>
                <w:szCs w:val="24"/>
                <w:highlight w:val="none"/>
                <w:lang w:val="en-US" w:eastAsia="zh-CN"/>
              </w:rPr>
            </w:pPr>
            <w:r>
              <w:rPr>
                <w:rFonts w:hint="eastAsia" w:ascii="Times New Roman" w:hAnsi="Times New Roman" w:eastAsia="宋体"/>
                <w:sz w:val="24"/>
                <w:szCs w:val="24"/>
                <w:highlight w:val="none"/>
                <w:lang w:val="en-US" w:eastAsia="zh-CN"/>
              </w:rPr>
              <w:t>心血管内光学相干影像系统</w:t>
            </w:r>
          </w:p>
        </w:tc>
        <w:tc>
          <w:tcPr>
            <w:tcW w:w="127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4B906CB4">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5</w:t>
            </w:r>
          </w:p>
        </w:tc>
        <w:tc>
          <w:tcPr>
            <w:tcW w:w="88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7F728674">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w:t>
            </w:r>
          </w:p>
        </w:tc>
        <w:tc>
          <w:tcPr>
            <w:tcW w:w="1365"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2E9942AF">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5</w:t>
            </w:r>
          </w:p>
        </w:tc>
        <w:tc>
          <w:tcPr>
            <w:tcW w:w="1477"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3A3AE055">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31200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37CC9CD7">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5</w:t>
            </w:r>
          </w:p>
        </w:tc>
        <w:tc>
          <w:tcPr>
            <w:tcW w:w="592" w:type="dxa"/>
            <w:vMerge w:val="continue"/>
            <w:tcBorders>
              <w:left w:val="single" w:color="auto" w:sz="4" w:space="0"/>
              <w:right w:val="single" w:color="auto" w:sz="4" w:space="0"/>
            </w:tcBorders>
            <w:shd w:val="clear" w:color="auto" w:fill="auto"/>
            <w:noWrap w:val="0"/>
            <w:vAlign w:val="center"/>
          </w:tcPr>
          <w:p w14:paraId="0B9E0296">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p>
        </w:tc>
        <w:tc>
          <w:tcPr>
            <w:tcW w:w="2978"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4EE5CDB5">
            <w:pPr>
              <w:keepNext w:val="0"/>
              <w:keepLines w:val="0"/>
              <w:widowControl/>
              <w:suppressLineNumbers w:val="0"/>
              <w:spacing w:line="360" w:lineRule="auto"/>
              <w:jc w:val="center"/>
              <w:textAlignment w:val="center"/>
              <w:rPr>
                <w:rFonts w:hint="eastAsia" w:ascii="Times New Roman" w:hAnsi="Times New Roman" w:eastAsia="宋体"/>
                <w:sz w:val="24"/>
                <w:szCs w:val="24"/>
                <w:highlight w:val="none"/>
                <w:lang w:val="en-US" w:eastAsia="zh-CN"/>
              </w:rPr>
            </w:pPr>
            <w:r>
              <w:rPr>
                <w:rFonts w:hint="eastAsia" w:ascii="Times New Roman" w:hAnsi="Times New Roman" w:eastAsia="宋体"/>
                <w:sz w:val="24"/>
                <w:szCs w:val="24"/>
                <w:highlight w:val="none"/>
                <w:lang w:val="en-US" w:eastAsia="zh-CN"/>
              </w:rPr>
              <w:t>血流储备分数测量设备</w:t>
            </w:r>
          </w:p>
        </w:tc>
        <w:tc>
          <w:tcPr>
            <w:tcW w:w="127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720C9E3A">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w:t>
            </w:r>
          </w:p>
        </w:tc>
        <w:tc>
          <w:tcPr>
            <w:tcW w:w="88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76197C43">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w:t>
            </w:r>
          </w:p>
        </w:tc>
        <w:tc>
          <w:tcPr>
            <w:tcW w:w="1365"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173EE9B5">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2</w:t>
            </w:r>
          </w:p>
        </w:tc>
        <w:tc>
          <w:tcPr>
            <w:tcW w:w="1477"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14886B52">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r w14:paraId="5129D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66FE313E">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6</w:t>
            </w:r>
          </w:p>
        </w:tc>
        <w:tc>
          <w:tcPr>
            <w:tcW w:w="592" w:type="dxa"/>
            <w:vMerge w:val="continue"/>
            <w:tcBorders>
              <w:left w:val="single" w:color="auto" w:sz="4" w:space="0"/>
              <w:right w:val="single" w:color="auto" w:sz="4" w:space="0"/>
            </w:tcBorders>
            <w:shd w:val="clear" w:color="auto" w:fill="auto"/>
            <w:noWrap w:val="0"/>
            <w:vAlign w:val="center"/>
          </w:tcPr>
          <w:p w14:paraId="06B4137C">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p>
        </w:tc>
        <w:tc>
          <w:tcPr>
            <w:tcW w:w="2978"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75F8AB9B">
            <w:pPr>
              <w:keepNext w:val="0"/>
              <w:keepLines w:val="0"/>
              <w:widowControl/>
              <w:suppressLineNumbers w:val="0"/>
              <w:spacing w:line="360" w:lineRule="auto"/>
              <w:jc w:val="center"/>
              <w:textAlignment w:val="center"/>
              <w:rPr>
                <w:rFonts w:hint="eastAsia" w:ascii="Times New Roman" w:hAnsi="Times New Roman" w:eastAsia="宋体"/>
                <w:sz w:val="24"/>
                <w:szCs w:val="24"/>
                <w:highlight w:val="none"/>
                <w:lang w:val="en-US" w:eastAsia="zh-CN"/>
              </w:rPr>
            </w:pPr>
            <w:r>
              <w:rPr>
                <w:rFonts w:hint="eastAsia" w:ascii="Times New Roman" w:hAnsi="Times New Roman" w:eastAsia="宋体"/>
                <w:sz w:val="24"/>
                <w:szCs w:val="24"/>
                <w:highlight w:val="none"/>
                <w:lang w:val="en-US" w:eastAsia="zh-CN"/>
              </w:rPr>
              <w:t>动脉血流储备及微循环计算设备</w:t>
            </w:r>
          </w:p>
        </w:tc>
        <w:tc>
          <w:tcPr>
            <w:tcW w:w="127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3236EF0D">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3</w:t>
            </w:r>
          </w:p>
        </w:tc>
        <w:tc>
          <w:tcPr>
            <w:tcW w:w="88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12D62A59">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w:t>
            </w:r>
          </w:p>
        </w:tc>
        <w:tc>
          <w:tcPr>
            <w:tcW w:w="1365"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23769A54">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3</w:t>
            </w:r>
          </w:p>
        </w:tc>
        <w:tc>
          <w:tcPr>
            <w:tcW w:w="1477"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77BC3333">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是</w:t>
            </w:r>
          </w:p>
        </w:tc>
      </w:tr>
      <w:tr w14:paraId="129F3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1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52AA76BA">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7</w:t>
            </w:r>
          </w:p>
        </w:tc>
        <w:tc>
          <w:tcPr>
            <w:tcW w:w="592" w:type="dxa"/>
            <w:vMerge w:val="continue"/>
            <w:tcBorders>
              <w:left w:val="single" w:color="auto" w:sz="4" w:space="0"/>
              <w:bottom w:val="single" w:color="auto" w:sz="4" w:space="0"/>
              <w:right w:val="single" w:color="auto" w:sz="4" w:space="0"/>
            </w:tcBorders>
            <w:shd w:val="clear" w:color="auto" w:fill="auto"/>
            <w:noWrap w:val="0"/>
            <w:vAlign w:val="center"/>
          </w:tcPr>
          <w:p w14:paraId="7027683E">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p>
        </w:tc>
        <w:tc>
          <w:tcPr>
            <w:tcW w:w="2978" w:type="dxa"/>
            <w:tcBorders>
              <w:top w:val="single" w:color="auto" w:sz="4" w:space="0"/>
              <w:left w:val="single" w:color="auto" w:sz="4" w:space="0"/>
              <w:bottom w:val="single" w:color="auto" w:sz="4" w:space="0"/>
              <w:right w:val="single" w:color="000000" w:sz="4" w:space="0"/>
            </w:tcBorders>
            <w:shd w:val="clear" w:color="auto" w:fill="auto"/>
            <w:noWrap w:val="0"/>
            <w:vAlign w:val="center"/>
          </w:tcPr>
          <w:p w14:paraId="0D4E608A">
            <w:pPr>
              <w:keepNext w:val="0"/>
              <w:keepLines w:val="0"/>
              <w:widowControl/>
              <w:suppressLineNumbers w:val="0"/>
              <w:shd w:val="clear"/>
              <w:spacing w:line="360" w:lineRule="auto"/>
              <w:jc w:val="center"/>
              <w:textAlignment w:val="center"/>
              <w:rPr>
                <w:rFonts w:hint="eastAsia" w:ascii="Times New Roman" w:hAnsi="Times New Roman" w:eastAsia="宋体"/>
                <w:sz w:val="24"/>
                <w:szCs w:val="24"/>
                <w:highlight w:val="none"/>
                <w:lang w:val="en-US" w:eastAsia="zh-CN"/>
              </w:rPr>
            </w:pPr>
            <w:r>
              <w:rPr>
                <w:rFonts w:hint="eastAsia" w:ascii="Times New Roman" w:hAnsi="Times New Roman" w:eastAsia="宋体"/>
                <w:sz w:val="24"/>
                <w:szCs w:val="24"/>
                <w:highlight w:val="none"/>
                <w:lang w:val="en-US" w:eastAsia="zh-CN"/>
              </w:rPr>
              <w:t>血管内超声诊断系统</w:t>
            </w:r>
          </w:p>
        </w:tc>
        <w:tc>
          <w:tcPr>
            <w:tcW w:w="127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47598AC7">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9.5</w:t>
            </w:r>
          </w:p>
        </w:tc>
        <w:tc>
          <w:tcPr>
            <w:tcW w:w="885" w:type="dxa"/>
            <w:tcBorders>
              <w:top w:val="single" w:color="auto" w:sz="4" w:space="0"/>
              <w:left w:val="single" w:color="000000" w:sz="4" w:space="0"/>
              <w:bottom w:val="single" w:color="auto" w:sz="4" w:space="0"/>
              <w:right w:val="single" w:color="000000" w:sz="4" w:space="0"/>
            </w:tcBorders>
            <w:shd w:val="clear" w:color="auto" w:fill="auto"/>
            <w:noWrap w:val="0"/>
            <w:vAlign w:val="center"/>
          </w:tcPr>
          <w:p w14:paraId="614B6486">
            <w:pPr>
              <w:keepNext w:val="0"/>
              <w:keepLines w:val="0"/>
              <w:widowControl/>
              <w:suppressLineNumbers w:val="0"/>
              <w:shd w:val="clear"/>
              <w:spacing w:line="360" w:lineRule="auto"/>
              <w:jc w:val="center"/>
              <w:textAlignment w:val="center"/>
              <w:rPr>
                <w:rFonts w:hint="default"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1</w:t>
            </w:r>
          </w:p>
        </w:tc>
        <w:tc>
          <w:tcPr>
            <w:tcW w:w="1365"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04EDB783">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9.5</w:t>
            </w:r>
          </w:p>
        </w:tc>
        <w:tc>
          <w:tcPr>
            <w:tcW w:w="1477" w:type="dxa"/>
            <w:tcBorders>
              <w:top w:val="single" w:color="auto" w:sz="4" w:space="0"/>
              <w:left w:val="single" w:color="000000" w:sz="4" w:space="0"/>
              <w:bottom w:val="single" w:color="auto" w:sz="4" w:space="0"/>
              <w:right w:val="single" w:color="auto" w:sz="4" w:space="0"/>
            </w:tcBorders>
            <w:shd w:val="clear" w:color="auto" w:fill="auto"/>
            <w:noWrap w:val="0"/>
            <w:vAlign w:val="center"/>
          </w:tcPr>
          <w:p w14:paraId="0B84F38C">
            <w:pPr>
              <w:keepNext w:val="0"/>
              <w:keepLines w:val="0"/>
              <w:widowControl/>
              <w:suppressLineNumbers w:val="0"/>
              <w:shd w:val="clear"/>
              <w:spacing w:line="360" w:lineRule="auto"/>
              <w:jc w:val="center"/>
              <w:textAlignment w:val="center"/>
              <w:rPr>
                <w:rFonts w:hint="eastAsia" w:ascii="Times New Roman" w:hAnsi="Times New Roman" w:eastAsia="宋体" w:cs="宋体"/>
                <w:i w:val="0"/>
                <w:iCs w:val="0"/>
                <w:color w:val="000000"/>
                <w:kern w:val="0"/>
                <w:sz w:val="24"/>
                <w:szCs w:val="24"/>
                <w:highlight w:val="none"/>
                <w:u w:val="none"/>
                <w:lang w:val="en-US" w:eastAsia="zh-CN" w:bidi="ar"/>
              </w:rPr>
            </w:pPr>
            <w:r>
              <w:rPr>
                <w:rFonts w:hint="eastAsia" w:ascii="Times New Roman" w:hAnsi="Times New Roman" w:eastAsia="宋体" w:cs="宋体"/>
                <w:i w:val="0"/>
                <w:iCs w:val="0"/>
                <w:color w:val="000000"/>
                <w:kern w:val="0"/>
                <w:sz w:val="24"/>
                <w:szCs w:val="24"/>
                <w:highlight w:val="none"/>
                <w:u w:val="none"/>
                <w:lang w:val="en-US" w:eastAsia="zh-CN" w:bidi="ar"/>
              </w:rPr>
              <w:t>否</w:t>
            </w:r>
          </w:p>
        </w:tc>
      </w:tr>
    </w:tbl>
    <w:p w14:paraId="133DDE46">
      <w:pPr>
        <w:keepNext w:val="0"/>
        <w:keepLines w:val="0"/>
        <w:pageBreakBefore w:val="0"/>
        <w:widowControl w:val="0"/>
        <w:shd w:val="clear"/>
        <w:kinsoku/>
        <w:wordWrap/>
        <w:overflowPunct/>
        <w:topLinePunct w:val="0"/>
        <w:autoSpaceDE/>
        <w:autoSpaceDN/>
        <w:bidi w:val="0"/>
        <w:adjustRightInd/>
        <w:snapToGrid/>
        <w:spacing w:line="360" w:lineRule="auto"/>
        <w:textAlignment w:val="auto"/>
        <w:rPr>
          <w:rFonts w:hint="default" w:ascii="Times New Roman" w:hAnsi="Times New Roman" w:eastAsia="宋体" w:cs="宋体"/>
          <w:b w:val="0"/>
          <w:bCs w:val="0"/>
          <w:sz w:val="24"/>
          <w:szCs w:val="24"/>
          <w:highlight w:val="none"/>
          <w:lang w:val="en-US" w:eastAsia="zh-CN"/>
        </w:rPr>
      </w:pPr>
      <w:r>
        <w:rPr>
          <w:rFonts w:hint="eastAsia" w:ascii="Times New Roman" w:hAnsi="Times New Roman" w:eastAsia="宋体" w:cs="宋体"/>
          <w:b w:val="0"/>
          <w:bCs w:val="0"/>
          <w:sz w:val="24"/>
          <w:szCs w:val="24"/>
          <w:highlight w:val="none"/>
          <w:lang w:val="en-US" w:eastAsia="zh-CN"/>
        </w:rPr>
        <w:t>注：各包件可兼投兼中</w:t>
      </w:r>
    </w:p>
    <w:p w14:paraId="3E92D7C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二、资格要求</w:t>
      </w:r>
    </w:p>
    <w:p w14:paraId="06149D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rPr>
        <w:t>本次</w:t>
      </w:r>
      <w:r>
        <w:rPr>
          <w:rFonts w:hint="eastAsia" w:ascii="Times New Roman" w:hAnsi="Times New Roman" w:eastAsia="宋体" w:cs="宋体"/>
          <w:sz w:val="24"/>
          <w:szCs w:val="24"/>
          <w:highlight w:val="none"/>
          <w:lang w:eastAsia="zh-CN"/>
        </w:rPr>
        <w:t>询比</w:t>
      </w:r>
      <w:r>
        <w:rPr>
          <w:rFonts w:hint="eastAsia" w:ascii="Times New Roman" w:hAnsi="Times New Roman" w:eastAsia="宋体" w:cs="宋体"/>
          <w:sz w:val="24"/>
          <w:szCs w:val="24"/>
          <w:highlight w:val="none"/>
        </w:rPr>
        <w:t>对潜在供应商进行资格预审，资格预审申请人须同时满足以下条件</w:t>
      </w:r>
      <w:r>
        <w:rPr>
          <w:rFonts w:hint="eastAsia" w:ascii="Times New Roman" w:hAnsi="Times New Roman" w:eastAsia="宋体" w:cs="宋体"/>
          <w:sz w:val="24"/>
          <w:szCs w:val="24"/>
          <w:highlight w:val="none"/>
          <w:lang w:eastAsia="zh-CN"/>
        </w:rPr>
        <w:t>：</w:t>
      </w:r>
    </w:p>
    <w:p w14:paraId="563EB6F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(1) 符合《中华人民共和国招标投标法》相关规定；</w:t>
      </w:r>
    </w:p>
    <w:p w14:paraId="2D8D1D63">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(2) 投标人及其投标产品和服务符合国家法律法规及强制性规范所规定的条件；</w:t>
      </w:r>
    </w:p>
    <w:p w14:paraId="548BA60D">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(3) 在中华人民共和国境内注册并取得营业执照的供应商，有相应的经营范围，并提供营业执照、税务登记证和机构代码证书；</w:t>
      </w:r>
    </w:p>
    <w:p w14:paraId="13B00F2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(4)本项目不接受联合投标。</w:t>
      </w:r>
    </w:p>
    <w:p w14:paraId="609A3CC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(5)必须按国家规定提供医疗器械经营/生产许可证或备案表；</w:t>
      </w:r>
    </w:p>
    <w:p w14:paraId="7F2A58B7">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(6)必须按国家规定提供设备的医疗器械注册证及登记表或备案表；</w:t>
      </w:r>
    </w:p>
    <w:p w14:paraId="02A5FA24">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(7) 投标人未被“信用中国”网站(www.creditchina.gov.cn)列入失信被执行人名单、重大税收违法案件当事人名单，且未被“中国政府采购网”(www.ccgp.gov.cn)列入政府采购严重违法失信行为记录名单。</w:t>
      </w:r>
    </w:p>
    <w:p w14:paraId="5FA6DDA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(8)投标单位应在承接此项目后不得转包。</w:t>
      </w:r>
    </w:p>
    <w:p w14:paraId="5D0AB769">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三、时间地点安排</w:t>
      </w:r>
    </w:p>
    <w:p w14:paraId="2DBBB9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440099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val="en-US" w:eastAsia="zh-CN"/>
        </w:rPr>
        <w:t>2、</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文件领取</w:t>
      </w:r>
      <w:r>
        <w:rPr>
          <w:rFonts w:hint="eastAsia" w:ascii="Times New Roman" w:hAnsi="Times New Roman" w:eastAsia="宋体" w:cs="宋体"/>
          <w:sz w:val="24"/>
          <w:szCs w:val="24"/>
          <w:highlight w:val="none"/>
          <w:lang w:val="en-US" w:eastAsia="zh-CN"/>
        </w:rPr>
        <w:t>方式</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提交</w:t>
      </w:r>
      <w:r>
        <w:rPr>
          <w:rFonts w:hint="eastAsia" w:ascii="Times New Roman" w:hAnsi="Times New Roman" w:eastAsia="宋体" w:cs="宋体"/>
          <w:sz w:val="24"/>
          <w:szCs w:val="24"/>
          <w:highlight w:val="none"/>
          <w:lang w:val="en-US" w:eastAsia="zh-CN"/>
        </w:rPr>
        <w:t>以下材料</w:t>
      </w:r>
      <w:r>
        <w:rPr>
          <w:rFonts w:hint="eastAsia" w:ascii="Times New Roman" w:hAnsi="Times New Roman" w:eastAsia="宋体" w:cs="宋体"/>
          <w:sz w:val="24"/>
          <w:szCs w:val="24"/>
          <w:highlight w:val="none"/>
        </w:rPr>
        <w:t>至上海市嘉定区</w:t>
      </w:r>
      <w:r>
        <w:rPr>
          <w:rFonts w:hint="eastAsia" w:ascii="Times New Roman" w:hAnsi="Times New Roman" w:eastAsia="宋体" w:cs="宋体"/>
          <w:sz w:val="24"/>
          <w:szCs w:val="24"/>
          <w:highlight w:val="none"/>
          <w:lang w:val="en-US" w:eastAsia="zh-CN"/>
        </w:rPr>
        <w:t>中心医院老住院大楼7楼724采购服务部</w:t>
      </w:r>
      <w:r>
        <w:rPr>
          <w:rFonts w:hint="eastAsia" w:ascii="Times New Roman" w:hAnsi="Times New Roman" w:eastAsia="宋体" w:cs="宋体"/>
          <w:sz w:val="24"/>
          <w:szCs w:val="24"/>
          <w:highlight w:val="none"/>
          <w:lang w:eastAsia="zh-CN"/>
        </w:rPr>
        <w:t>：</w:t>
      </w:r>
    </w:p>
    <w:p w14:paraId="1EF24730">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2.1营业执照彩色扫描件</w:t>
      </w:r>
    </w:p>
    <w:p w14:paraId="666A8A1C">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2.2法定代表人（单位负责人）授权委托书彩色扫描件（加盖公章）</w:t>
      </w:r>
    </w:p>
    <w:p w14:paraId="26F9B1FF">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2.3委托人身份证彩色扫描件（加盖公章）</w:t>
      </w:r>
    </w:p>
    <w:p w14:paraId="44528A66">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2.4《医疗器械经营许可证》或《医疗器械生产许可证》或《医疗器械经营备案凭证》（原件彩色扫描件加盖公章）。</w:t>
      </w:r>
    </w:p>
    <w:p w14:paraId="512389C5">
      <w:pPr>
        <w:pStyle w:val="2"/>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highlight w:val="none"/>
          <w:lang w:val="en-US" w:eastAsia="zh-CN"/>
        </w:rPr>
      </w:pPr>
      <w:r>
        <w:rPr>
          <w:rFonts w:hint="eastAsia" w:ascii="Times New Roman" w:hAnsi="Times New Roman" w:eastAsia="宋体" w:cs="宋体"/>
          <w:sz w:val="24"/>
          <w:szCs w:val="24"/>
          <w:highlight w:val="none"/>
          <w:lang w:eastAsia="zh-CN"/>
        </w:rPr>
        <w:t>以上所有资料均需加盖公章。</w:t>
      </w:r>
    </w:p>
    <w:p w14:paraId="1ED994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8</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0，逾期收到的或不符合规定的投标文件将被拒绝。</w:t>
      </w:r>
    </w:p>
    <w:p w14:paraId="03821B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highlight w:val="none"/>
          <w:lang w:val="en-US" w:eastAsia="zh-CN"/>
        </w:rPr>
      </w:pP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sz w:val="24"/>
          <w:szCs w:val="24"/>
          <w:highlight w:val="none"/>
          <w:lang w:eastAsia="zh-CN"/>
        </w:rPr>
        <w:t>比</w:t>
      </w:r>
      <w:r>
        <w:rPr>
          <w:rFonts w:hint="eastAsia" w:ascii="Times New Roman" w:hAnsi="Times New Roman" w:eastAsia="宋体" w:cs="宋体"/>
          <w:sz w:val="24"/>
          <w:szCs w:val="24"/>
          <w:highlight w:val="none"/>
          <w:lang w:val="en-US" w:eastAsia="zh-CN"/>
        </w:rPr>
        <w:t>选</w:t>
      </w:r>
      <w:r>
        <w:rPr>
          <w:rFonts w:hint="eastAsia" w:ascii="Times New Roman" w:hAnsi="Times New Roman" w:eastAsia="宋体" w:cs="宋体"/>
          <w:b w:val="0"/>
          <w:bCs w:val="0"/>
          <w:kern w:val="0"/>
          <w:sz w:val="24"/>
          <w:szCs w:val="24"/>
          <w:highlight w:val="none"/>
        </w:rPr>
        <w:t>时间：</w:t>
      </w:r>
      <w:r>
        <w:rPr>
          <w:rFonts w:hint="eastAsia" w:ascii="Times New Roman" w:hAnsi="Times New Roman" w:eastAsia="宋体" w:cs="宋体"/>
          <w:b w:val="0"/>
          <w:bCs w:val="0"/>
          <w:kern w:val="0"/>
          <w:sz w:val="24"/>
          <w:szCs w:val="24"/>
          <w:highlight w:val="none"/>
          <w:lang w:val="en-US" w:eastAsia="zh-CN"/>
        </w:rPr>
        <w:t>另行通知。</w:t>
      </w:r>
    </w:p>
    <w:p w14:paraId="049222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lang w:val="en-US" w:eastAsia="zh-CN"/>
        </w:rPr>
        <w:t>5、特别注意：响应供应商须保证所提交的响应文件、资料的内容真实、完整、有效、一致，如递交虚假的响应文件、资料或填写信息错误导致的与本项目有关的任何损失由供应商承担。</w:t>
      </w:r>
    </w:p>
    <w:p w14:paraId="567CC2E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四、联系方式</w:t>
      </w:r>
    </w:p>
    <w:p w14:paraId="1C2E31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联系人</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江</w:t>
      </w:r>
      <w:r>
        <w:rPr>
          <w:rFonts w:hint="eastAsia" w:ascii="Times New Roman" w:hAnsi="Times New Roman" w:eastAsia="宋体" w:cs="宋体"/>
          <w:sz w:val="24"/>
          <w:szCs w:val="24"/>
          <w:highlight w:val="none"/>
        </w:rPr>
        <w:t>老师</w:t>
      </w:r>
    </w:p>
    <w:p w14:paraId="589A5D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rPr>
        <w:t>联系电话</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021-67</w:t>
      </w:r>
      <w:r>
        <w:rPr>
          <w:rFonts w:hint="eastAsia" w:ascii="Times New Roman" w:hAnsi="Times New Roman" w:eastAsia="宋体" w:cs="宋体"/>
          <w:sz w:val="24"/>
          <w:szCs w:val="24"/>
          <w:highlight w:val="none"/>
          <w:lang w:val="en-US" w:eastAsia="zh-CN"/>
        </w:rPr>
        <w:t>073466</w:t>
      </w:r>
    </w:p>
    <w:p w14:paraId="743545EB"/>
    <w:p w14:paraId="6ACB3A6D"/>
    <w:p w14:paraId="32222BFF"/>
    <w:p w14:paraId="779AC4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rPr>
        <w:t>上海市嘉定区</w:t>
      </w:r>
      <w:r>
        <w:rPr>
          <w:rFonts w:hint="eastAsia" w:ascii="Times New Roman" w:hAnsi="Times New Roman" w:eastAsia="宋体" w:cs="宋体"/>
          <w:sz w:val="24"/>
          <w:szCs w:val="24"/>
          <w:lang w:val="en-US" w:eastAsia="zh-CN"/>
        </w:rPr>
        <w:t>中心</w:t>
      </w:r>
      <w:r>
        <w:rPr>
          <w:rFonts w:hint="eastAsia" w:ascii="Times New Roman" w:hAnsi="Times New Roman" w:eastAsia="宋体" w:cs="宋体"/>
          <w:sz w:val="24"/>
          <w:szCs w:val="24"/>
        </w:rPr>
        <w:t>医院</w:t>
      </w:r>
    </w:p>
    <w:p w14:paraId="03F0F8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Times New Roman" w:hAnsi="Times New Roman" w:eastAsia="宋体" w:cs="宋体"/>
          <w:highlight w:val="none"/>
        </w:rPr>
      </w:pP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1日</w:t>
      </w:r>
    </w:p>
    <w:p w14:paraId="2B9B9D50">
      <w:pPr>
        <w:pStyle w:val="2"/>
        <w:rPr>
          <w:rFonts w:hint="default" w:ascii="Times New Roman" w:hAnsi="Times New Roman" w:eastAsia="宋体"/>
          <w:lang w:eastAsia="zh-CN"/>
        </w:rPr>
      </w:pPr>
    </w:p>
    <w:p w14:paraId="6DC87DB0">
      <w:pPr>
        <w:rPr>
          <w:rFonts w:ascii="Times New Roman" w:hAnsi="Times New Roman" w:eastAsia="宋体" w:cs="Arial"/>
          <w:b/>
          <w:sz w:val="21"/>
          <w:szCs w:val="21"/>
        </w:rPr>
      </w:pPr>
      <w:r>
        <w:rPr>
          <w:rFonts w:ascii="Times New Roman" w:hAnsi="Times New Roman" w:eastAsia="宋体" w:cs="Arial"/>
          <w:b/>
          <w:sz w:val="21"/>
          <w:szCs w:val="21"/>
        </w:rPr>
        <w:br w:type="page"/>
      </w:r>
    </w:p>
    <w:p w14:paraId="4E1DE428">
      <w:pPr>
        <w:pStyle w:val="7"/>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4C4D4775">
      <w:pPr>
        <w:pStyle w:val="7"/>
        <w:pBdr>
          <w:bottom w:val="single" w:color="auto" w:sz="6" w:space="1"/>
        </w:pBdr>
        <w:spacing w:line="240" w:lineRule="auto"/>
        <w:jc w:val="center"/>
        <w:rPr>
          <w:rFonts w:ascii="Times New Roman" w:hAnsi="Times New Roman" w:eastAsia="宋体" w:cs="Arial"/>
          <w:sz w:val="21"/>
          <w:szCs w:val="21"/>
        </w:rPr>
      </w:pPr>
    </w:p>
    <w:p w14:paraId="7D385CD2">
      <w:pPr>
        <w:pStyle w:val="7"/>
        <w:pBdr>
          <w:bottom w:val="single" w:color="auto" w:sz="6" w:space="1"/>
        </w:pBdr>
        <w:spacing w:line="240" w:lineRule="auto"/>
        <w:jc w:val="center"/>
        <w:rPr>
          <w:rFonts w:ascii="Times New Roman" w:hAnsi="Times New Roman" w:eastAsia="宋体" w:cs="Arial"/>
          <w:sz w:val="21"/>
          <w:szCs w:val="21"/>
        </w:rPr>
      </w:pPr>
    </w:p>
    <w:p w14:paraId="009FEA7B">
      <w:pPr>
        <w:pStyle w:val="7"/>
        <w:pBdr>
          <w:bottom w:val="single" w:color="auto" w:sz="6" w:space="1"/>
        </w:pBdr>
        <w:spacing w:line="240" w:lineRule="auto"/>
        <w:jc w:val="center"/>
        <w:rPr>
          <w:rFonts w:ascii="Times New Roman" w:hAnsi="Times New Roman" w:eastAsia="宋体" w:cs="Arial"/>
          <w:sz w:val="21"/>
          <w:szCs w:val="21"/>
        </w:rPr>
      </w:pPr>
    </w:p>
    <w:p w14:paraId="0E8C274A">
      <w:pPr>
        <w:pStyle w:val="7"/>
        <w:pBdr>
          <w:bottom w:val="single" w:color="auto" w:sz="6" w:space="1"/>
        </w:pBdr>
        <w:spacing w:line="240" w:lineRule="auto"/>
        <w:jc w:val="center"/>
        <w:rPr>
          <w:rFonts w:ascii="Times New Roman" w:hAnsi="Times New Roman" w:eastAsia="宋体" w:cs="Arial"/>
          <w:sz w:val="21"/>
          <w:szCs w:val="21"/>
        </w:rPr>
      </w:pPr>
    </w:p>
    <w:p w14:paraId="79477D74">
      <w:pPr>
        <w:pStyle w:val="7"/>
        <w:pBdr>
          <w:bottom w:val="single" w:color="auto" w:sz="6" w:space="1"/>
        </w:pBdr>
        <w:spacing w:line="240" w:lineRule="auto"/>
        <w:jc w:val="center"/>
        <w:rPr>
          <w:rFonts w:ascii="Times New Roman" w:hAnsi="Times New Roman" w:eastAsia="宋体" w:cs="Arial"/>
          <w:sz w:val="21"/>
          <w:szCs w:val="21"/>
        </w:rPr>
      </w:pPr>
    </w:p>
    <w:p w14:paraId="614E22C8">
      <w:pPr>
        <w:pStyle w:val="7"/>
        <w:pBdr>
          <w:bottom w:val="single" w:color="auto" w:sz="6" w:space="1"/>
        </w:pBdr>
        <w:spacing w:line="240" w:lineRule="auto"/>
        <w:jc w:val="center"/>
        <w:rPr>
          <w:rFonts w:ascii="Times New Roman" w:hAnsi="Times New Roman" w:eastAsia="宋体" w:cs="Arial"/>
          <w:sz w:val="21"/>
          <w:szCs w:val="21"/>
        </w:rPr>
      </w:pPr>
    </w:p>
    <w:p w14:paraId="35625FC8">
      <w:pPr>
        <w:pStyle w:val="7"/>
        <w:rPr>
          <w:rFonts w:ascii="Times New Roman" w:hAnsi="Times New Roman" w:eastAsia="宋体" w:cs="Arial"/>
          <w:sz w:val="21"/>
          <w:szCs w:val="21"/>
        </w:rPr>
      </w:pPr>
    </w:p>
    <w:p w14:paraId="7C077BD0">
      <w:pPr>
        <w:pStyle w:val="7"/>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7"/>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7"/>
        <w:spacing w:line="360" w:lineRule="auto"/>
        <w:rPr>
          <w:rFonts w:ascii="Times New Roman" w:hAnsi="Times New Roman" w:eastAsia="宋体" w:cs="Arial"/>
          <w:sz w:val="21"/>
          <w:szCs w:val="21"/>
        </w:rPr>
      </w:pPr>
    </w:p>
    <w:p w14:paraId="11E36B5B">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7"/>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7"/>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7BDF9601">
      <w:pPr>
        <w:pStyle w:val="7"/>
        <w:spacing w:line="360" w:lineRule="auto"/>
        <w:rPr>
          <w:rFonts w:ascii="Times New Roman" w:hAnsi="Times New Roman" w:eastAsia="宋体" w:cs="Arial"/>
          <w:sz w:val="21"/>
          <w:szCs w:val="21"/>
          <w:u w:val="single"/>
        </w:rPr>
      </w:pPr>
    </w:p>
    <w:p w14:paraId="4FB77481">
      <w:pPr>
        <w:pStyle w:val="7"/>
        <w:rPr>
          <w:rFonts w:ascii="Times New Roman" w:hAnsi="Times New Roman" w:eastAsia="宋体" w:cs="Arial"/>
          <w:sz w:val="21"/>
          <w:szCs w:val="21"/>
        </w:rPr>
      </w:pPr>
    </w:p>
    <w:p w14:paraId="4887B81B">
      <w:pPr>
        <w:pStyle w:val="7"/>
        <w:rPr>
          <w:rFonts w:ascii="Times New Roman" w:hAnsi="Times New Roman" w:eastAsia="宋体" w:cs="Arial"/>
          <w:sz w:val="21"/>
          <w:szCs w:val="21"/>
        </w:rPr>
      </w:pPr>
    </w:p>
    <w:p w14:paraId="75291D02">
      <w:pPr>
        <w:pStyle w:val="2"/>
        <w:jc w:val="center"/>
        <w:rPr>
          <w:rFonts w:hint="default" w:ascii="Times New Roman" w:hAnsi="Times New Roman" w:eastAsia="宋体"/>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p w14:paraId="5EC655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3E3177"/>
    <w:rsid w:val="1D3E3177"/>
    <w:rsid w:val="57256F06"/>
    <w:rsid w:val="6BB232A3"/>
    <w:rsid w:val="78EE0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4">
    <w:name w:val="Body Text First Indent"/>
    <w:basedOn w:val="2"/>
    <w:qFormat/>
    <w:uiPriority w:val="0"/>
    <w:pPr>
      <w:ind w:firstLine="420" w:firstLineChars="100"/>
    </w:pPr>
  </w:style>
  <w:style w:type="paragraph" w:customStyle="1" w:styleId="7">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1257</Words>
  <Characters>1386</Characters>
  <Lines>0</Lines>
  <Paragraphs>0</Paragraphs>
  <TotalTime>0</TotalTime>
  <ScaleCrop>false</ScaleCrop>
  <LinksUpToDate>false</LinksUpToDate>
  <CharactersWithSpaces>1688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2026-06-22T00:34:00Z</dcterms:created>
  <dc:creator>spring</dc:creator>
  <cp:lastModifiedBy>spring</cp:lastModifiedBy>
  <dcterms:modified xsi:type="dcterms:W3CDTF">2026-06-30T08:36:26Z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7CF658BC85AD48B590D2A9CF7D6E2741_13</vt:lpwstr>
  </property>
  <property fmtid="{D5CDD505-2E9C-101B-9397-08002B2CF9AE}" pid="4" name="KSOTemplateDocerSaveRecord">
    <vt:lpwstr>eyJoZGlkIjoiYzU1NGQ4ZTkwOGQyNTk2YjgxZTBiZGUyMjI1MTVhNGUiLCJ1c2VySWQiOiIzNjM0MjI1MzkifQ==</vt:lpwstr>
  </property>
</Properties>
</file>